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F8CE1" w14:textId="59101AD9" w:rsidR="00F25874" w:rsidRDefault="00F25874" w:rsidP="00F25874">
      <w:pPr>
        <w:jc w:val="right"/>
        <w:rPr>
          <w:b/>
          <w:bCs/>
        </w:rPr>
      </w:pPr>
      <w:r>
        <w:rPr>
          <w:noProof/>
        </w:rPr>
        <w:drawing>
          <wp:inline distT="0" distB="0" distL="0" distR="0" wp14:anchorId="59E2D4B7" wp14:editId="42E4C6E8">
            <wp:extent cx="1847850" cy="476250"/>
            <wp:effectExtent l="0" t="0" r="0" b="0"/>
            <wp:docPr id="83" name="Pictur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1847850" cy="476250"/>
                    </a:xfrm>
                    <a:prstGeom prst="rect">
                      <a:avLst/>
                    </a:prstGeom>
                  </pic:spPr>
                </pic:pic>
              </a:graphicData>
            </a:graphic>
          </wp:inline>
        </w:drawing>
      </w:r>
    </w:p>
    <w:p w14:paraId="4FB3DA6C" w14:textId="47AEEF70" w:rsidR="00F25874" w:rsidRPr="00F70568" w:rsidRDefault="00F25874" w:rsidP="00F70568">
      <w:pPr>
        <w:pStyle w:val="Heading1"/>
        <w:jc w:val="center"/>
        <w:rPr>
          <w:rFonts w:ascii="Calibri" w:hAnsi="Calibri" w:cs="Calibri"/>
          <w:b/>
          <w:bCs/>
          <w:color w:val="auto"/>
          <w:sz w:val="32"/>
          <w:szCs w:val="32"/>
        </w:rPr>
      </w:pPr>
      <w:r w:rsidRPr="00F70568">
        <w:rPr>
          <w:rFonts w:ascii="Calibri" w:hAnsi="Calibri" w:cs="Calibri"/>
          <w:b/>
          <w:bCs/>
          <w:color w:val="auto"/>
          <w:sz w:val="32"/>
          <w:szCs w:val="32"/>
        </w:rPr>
        <w:t>Risk Management Policy</w:t>
      </w:r>
    </w:p>
    <w:p w14:paraId="469EBCAB" w14:textId="48A9BB2C" w:rsidR="00F25874" w:rsidRPr="00F25874" w:rsidRDefault="00EF430D" w:rsidP="0092466C">
      <w:pPr>
        <w:spacing w:after="0"/>
        <w:rPr>
          <w:rFonts w:ascii="Calibri" w:hAnsi="Calibri" w:cs="Calibri"/>
        </w:rPr>
      </w:pPr>
      <w:r>
        <w:rPr>
          <w:rFonts w:ascii="Calibri" w:hAnsi="Calibri" w:cs="Calibri"/>
          <w:b/>
          <w:bCs/>
        </w:rPr>
        <w:t xml:space="preserve">Policy Statement </w:t>
      </w:r>
      <w:r w:rsidR="00F25874" w:rsidRPr="00F25874">
        <w:rPr>
          <w:rFonts w:ascii="Calibri" w:hAnsi="Calibri" w:cs="Calibri"/>
        </w:rPr>
        <w:t>  </w:t>
      </w:r>
    </w:p>
    <w:p w14:paraId="26C1D8B8" w14:textId="63A05486" w:rsidR="00AF4566" w:rsidRDefault="00AF4566" w:rsidP="00AF4566">
      <w:pPr>
        <w:spacing w:after="0"/>
        <w:jc w:val="both"/>
        <w:rPr>
          <w:rFonts w:ascii="Calibri" w:hAnsi="Calibri" w:cs="Calibri"/>
          <w:b/>
          <w:bCs/>
        </w:rPr>
      </w:pPr>
      <w:r>
        <w:rPr>
          <w:rFonts w:ascii="Calibri" w:hAnsi="Calibri" w:cs="Calibri"/>
        </w:rPr>
        <w:t>T</w:t>
      </w:r>
      <w:r w:rsidRPr="00073833">
        <w:rPr>
          <w:rFonts w:ascii="Calibri" w:hAnsi="Calibri" w:cs="Calibri"/>
        </w:rPr>
        <w:t xml:space="preserve">he University of Stirling recognises that there </w:t>
      </w:r>
      <w:r>
        <w:rPr>
          <w:rFonts w:ascii="Calibri" w:hAnsi="Calibri" w:cs="Calibri"/>
        </w:rPr>
        <w:t>is</w:t>
      </w:r>
      <w:r w:rsidRPr="00073833">
        <w:rPr>
          <w:rFonts w:ascii="Calibri" w:hAnsi="Calibri" w:cs="Calibri"/>
        </w:rPr>
        <w:t xml:space="preserve"> risk involved</w:t>
      </w:r>
      <w:r>
        <w:rPr>
          <w:rFonts w:ascii="Calibri" w:hAnsi="Calibri" w:cs="Calibri"/>
        </w:rPr>
        <w:t xml:space="preserve"> i</w:t>
      </w:r>
      <w:r w:rsidRPr="0036312E">
        <w:rPr>
          <w:rFonts w:ascii="Calibri" w:hAnsi="Calibri" w:cs="Calibri"/>
        </w:rPr>
        <w:t>n delivering its strategy</w:t>
      </w:r>
      <w:r>
        <w:rPr>
          <w:rFonts w:ascii="Calibri" w:hAnsi="Calibri" w:cs="Calibri"/>
        </w:rPr>
        <w:t xml:space="preserve">. </w:t>
      </w:r>
      <w:r w:rsidR="00F14B31">
        <w:rPr>
          <w:rFonts w:ascii="Calibri" w:hAnsi="Calibri" w:cs="Calibri"/>
        </w:rPr>
        <w:t xml:space="preserve"> </w:t>
      </w:r>
      <w:r>
        <w:rPr>
          <w:rFonts w:ascii="Calibri" w:hAnsi="Calibri" w:cs="Calibri"/>
        </w:rPr>
        <w:t>This is both in responding to challenges</w:t>
      </w:r>
      <w:r w:rsidRPr="00192418">
        <w:rPr>
          <w:rFonts w:ascii="Calibri" w:hAnsi="Calibri" w:cs="Calibri"/>
        </w:rPr>
        <w:t xml:space="preserve"> </w:t>
      </w:r>
      <w:r>
        <w:rPr>
          <w:rFonts w:ascii="Calibri" w:hAnsi="Calibri" w:cs="Calibri"/>
        </w:rPr>
        <w:t>and from inaction in the face of opportunities</w:t>
      </w:r>
      <w:r w:rsidRPr="00AF4566">
        <w:rPr>
          <w:rFonts w:ascii="Calibri" w:hAnsi="Calibri" w:cs="Calibri"/>
        </w:rPr>
        <w:t>.   The Risk Management Policy sets out the University’s approach to effective risk management. It aims to strengthen our ability to respond to risk in a way that contributes positively to the University achieving its objectives.</w:t>
      </w:r>
      <w:r>
        <w:rPr>
          <w:rFonts w:ascii="Calibri" w:hAnsi="Calibri" w:cs="Calibri"/>
          <w:b/>
          <w:bCs/>
        </w:rPr>
        <w:t xml:space="preserve"> </w:t>
      </w:r>
    </w:p>
    <w:p w14:paraId="16F2DD18" w14:textId="77777777" w:rsidR="0086594B" w:rsidRDefault="0086594B" w:rsidP="004B2DD9">
      <w:pPr>
        <w:spacing w:after="0"/>
        <w:jc w:val="both"/>
        <w:rPr>
          <w:rFonts w:ascii="Calibri" w:hAnsi="Calibri" w:cs="Calibri"/>
          <w:b/>
          <w:bCs/>
        </w:rPr>
      </w:pPr>
    </w:p>
    <w:p w14:paraId="7FB51F46" w14:textId="09943CF3" w:rsidR="0098370C" w:rsidRPr="008256E3" w:rsidRDefault="008256E3" w:rsidP="004B2DD9">
      <w:pPr>
        <w:spacing w:after="0"/>
        <w:jc w:val="both"/>
        <w:rPr>
          <w:rFonts w:ascii="Calibri" w:hAnsi="Calibri" w:cs="Calibri"/>
          <w:b/>
          <w:bCs/>
        </w:rPr>
      </w:pPr>
      <w:r w:rsidRPr="008256E3">
        <w:rPr>
          <w:rFonts w:ascii="Calibri" w:hAnsi="Calibri" w:cs="Calibri"/>
          <w:b/>
          <w:bCs/>
        </w:rPr>
        <w:t xml:space="preserve">Purpose </w:t>
      </w:r>
    </w:p>
    <w:p w14:paraId="209C0C81" w14:textId="277A7D1C" w:rsidR="00E02A9D" w:rsidRPr="00E02A9D" w:rsidRDefault="00E02A9D" w:rsidP="00E02A9D">
      <w:pPr>
        <w:spacing w:after="0"/>
        <w:jc w:val="both"/>
        <w:rPr>
          <w:rFonts w:ascii="Calibri" w:hAnsi="Calibri" w:cs="Calibri"/>
        </w:rPr>
      </w:pPr>
      <w:r w:rsidRPr="00E02A9D">
        <w:rPr>
          <w:rFonts w:ascii="Calibri" w:hAnsi="Calibri" w:cs="Calibri"/>
        </w:rPr>
        <w:t>The purpose of the policy is to ensure that:</w:t>
      </w:r>
    </w:p>
    <w:p w14:paraId="1D987A98" w14:textId="77777777" w:rsidR="00E02A9D" w:rsidRPr="00E02A9D" w:rsidRDefault="00E02A9D" w:rsidP="00E02A9D">
      <w:pPr>
        <w:numPr>
          <w:ilvl w:val="0"/>
          <w:numId w:val="26"/>
        </w:numPr>
        <w:spacing w:after="0"/>
        <w:ind w:hanging="436"/>
        <w:jc w:val="both"/>
        <w:rPr>
          <w:rFonts w:ascii="Calibri" w:hAnsi="Calibri" w:cs="Calibri"/>
        </w:rPr>
      </w:pPr>
      <w:r w:rsidRPr="00E02A9D">
        <w:rPr>
          <w:rFonts w:ascii="Calibri" w:hAnsi="Calibri" w:cs="Calibri"/>
        </w:rPr>
        <w:t>Risk is considered in the development and delivery of the University’s activities.</w:t>
      </w:r>
    </w:p>
    <w:p w14:paraId="7DA3E8DD" w14:textId="77777777" w:rsidR="00E02A9D" w:rsidRPr="00E02A9D" w:rsidRDefault="00E02A9D" w:rsidP="00E02A9D">
      <w:pPr>
        <w:numPr>
          <w:ilvl w:val="0"/>
          <w:numId w:val="26"/>
        </w:numPr>
        <w:spacing w:after="0"/>
        <w:ind w:hanging="436"/>
        <w:jc w:val="both"/>
        <w:rPr>
          <w:rFonts w:ascii="Calibri" w:hAnsi="Calibri" w:cs="Calibri"/>
        </w:rPr>
      </w:pPr>
      <w:r w:rsidRPr="00E02A9D">
        <w:rPr>
          <w:rFonts w:ascii="Calibri" w:hAnsi="Calibri" w:cs="Calibri"/>
        </w:rPr>
        <w:t xml:space="preserve">Effective risk management is integrated into our decision-making processes through the identification, evaluation, monitoring, and review of risks in a systematic and proactive manner. </w:t>
      </w:r>
    </w:p>
    <w:p w14:paraId="142969B6" w14:textId="77777777" w:rsidR="00E02A9D" w:rsidRPr="00E02A9D" w:rsidRDefault="00E02A9D" w:rsidP="00E02A9D">
      <w:pPr>
        <w:spacing w:after="0"/>
        <w:jc w:val="both"/>
        <w:rPr>
          <w:rFonts w:ascii="Calibri" w:hAnsi="Calibri" w:cs="Calibri"/>
        </w:rPr>
      </w:pPr>
    </w:p>
    <w:p w14:paraId="13C935AD" w14:textId="77777777" w:rsidR="00E02A9D" w:rsidRPr="00E02A9D" w:rsidRDefault="00E02A9D" w:rsidP="00E02A9D">
      <w:pPr>
        <w:spacing w:after="0"/>
        <w:jc w:val="both"/>
        <w:rPr>
          <w:rFonts w:ascii="Calibri" w:hAnsi="Calibri" w:cs="Calibri"/>
        </w:rPr>
      </w:pPr>
      <w:r w:rsidRPr="00E02A9D">
        <w:rPr>
          <w:rFonts w:ascii="Calibri" w:hAnsi="Calibri" w:cs="Calibri"/>
        </w:rPr>
        <w:t>The Risk Management Policy:</w:t>
      </w:r>
    </w:p>
    <w:p w14:paraId="291CD70F" w14:textId="0C06DBC0" w:rsidR="00E02A9D" w:rsidRPr="00E02A9D" w:rsidRDefault="00E02A9D" w:rsidP="00E02A9D">
      <w:pPr>
        <w:pStyle w:val="ListParagraph"/>
        <w:numPr>
          <w:ilvl w:val="0"/>
          <w:numId w:val="27"/>
        </w:numPr>
        <w:spacing w:after="0"/>
        <w:ind w:left="709" w:hanging="425"/>
        <w:jc w:val="both"/>
        <w:rPr>
          <w:rFonts w:ascii="Calibri" w:hAnsi="Calibri" w:cs="Calibri"/>
        </w:rPr>
      </w:pPr>
      <w:r w:rsidRPr="00E02A9D">
        <w:rPr>
          <w:rFonts w:ascii="Calibri" w:hAnsi="Calibri" w:cs="Calibri"/>
        </w:rPr>
        <w:t xml:space="preserve">sets out a definition of risk, roles and </w:t>
      </w:r>
      <w:proofErr w:type="gramStart"/>
      <w:r w:rsidRPr="00E02A9D">
        <w:rPr>
          <w:rFonts w:ascii="Calibri" w:hAnsi="Calibri" w:cs="Calibri"/>
        </w:rPr>
        <w:t>responsibilities;</w:t>
      </w:r>
      <w:proofErr w:type="gramEnd"/>
    </w:p>
    <w:p w14:paraId="5273308B" w14:textId="77777777" w:rsidR="00E02A9D" w:rsidRPr="00E02A9D" w:rsidRDefault="00E02A9D" w:rsidP="00E02A9D">
      <w:pPr>
        <w:pStyle w:val="ListParagraph"/>
        <w:numPr>
          <w:ilvl w:val="0"/>
          <w:numId w:val="27"/>
        </w:numPr>
        <w:spacing w:after="0"/>
        <w:ind w:left="709" w:hanging="425"/>
        <w:jc w:val="both"/>
        <w:rPr>
          <w:rFonts w:ascii="Calibri" w:hAnsi="Calibri" w:cs="Calibri"/>
        </w:rPr>
      </w:pPr>
      <w:r w:rsidRPr="00E02A9D">
        <w:rPr>
          <w:rFonts w:ascii="Calibri" w:hAnsi="Calibri" w:cs="Calibri"/>
        </w:rPr>
        <w:t xml:space="preserve">is supplemented with guidance tools to embed good practice in the identification, assessment, mitigation and monitoring of risk.  </w:t>
      </w:r>
    </w:p>
    <w:p w14:paraId="1051C7FE" w14:textId="77777777" w:rsidR="00E02A9D" w:rsidRDefault="00E02A9D" w:rsidP="00CA56D8">
      <w:pPr>
        <w:spacing w:after="0"/>
        <w:jc w:val="both"/>
        <w:rPr>
          <w:rFonts w:ascii="Calibri" w:hAnsi="Calibri" w:cs="Calibri"/>
        </w:rPr>
      </w:pPr>
    </w:p>
    <w:p w14:paraId="22EED85D" w14:textId="6E44C3E7" w:rsidR="00EC6687" w:rsidRPr="00047DB6" w:rsidRDefault="00EC6687" w:rsidP="00727C9A">
      <w:pPr>
        <w:spacing w:after="0"/>
        <w:jc w:val="both"/>
        <w:rPr>
          <w:rFonts w:ascii="Calibri" w:hAnsi="Calibri" w:cs="Calibri"/>
        </w:rPr>
      </w:pPr>
      <w:r w:rsidRPr="00047DB6">
        <w:rPr>
          <w:rFonts w:ascii="Calibri" w:hAnsi="Calibri" w:cs="Calibri"/>
        </w:rPr>
        <w:t>The University aims to:</w:t>
      </w:r>
    </w:p>
    <w:p w14:paraId="3FEF2E38" w14:textId="05377445" w:rsidR="00EC6687" w:rsidRPr="00047DB6" w:rsidRDefault="00EC6687" w:rsidP="00727C9A">
      <w:pPr>
        <w:numPr>
          <w:ilvl w:val="0"/>
          <w:numId w:val="5"/>
        </w:numPr>
        <w:tabs>
          <w:tab w:val="clear" w:pos="720"/>
          <w:tab w:val="num" w:pos="567"/>
        </w:tabs>
        <w:spacing w:after="0"/>
        <w:ind w:left="567" w:hanging="283"/>
        <w:jc w:val="both"/>
        <w:rPr>
          <w:rFonts w:ascii="Calibri" w:hAnsi="Calibri" w:cs="Calibri"/>
        </w:rPr>
      </w:pPr>
      <w:r w:rsidRPr="00047DB6">
        <w:rPr>
          <w:rFonts w:ascii="Calibri" w:hAnsi="Calibri" w:cs="Calibri"/>
        </w:rPr>
        <w:t xml:space="preserve">ensure that the </w:t>
      </w:r>
      <w:r w:rsidR="002356D7" w:rsidRPr="00047DB6">
        <w:rPr>
          <w:rFonts w:ascii="Calibri" w:hAnsi="Calibri" w:cs="Calibri"/>
        </w:rPr>
        <w:t>delivery o</w:t>
      </w:r>
      <w:r w:rsidRPr="00047DB6">
        <w:rPr>
          <w:rFonts w:ascii="Calibri" w:hAnsi="Calibri" w:cs="Calibri"/>
        </w:rPr>
        <w:t xml:space="preserve">f </w:t>
      </w:r>
      <w:r w:rsidR="003D2EC9" w:rsidRPr="00047DB6">
        <w:rPr>
          <w:rFonts w:ascii="Calibri" w:hAnsi="Calibri" w:cs="Calibri"/>
        </w:rPr>
        <w:t>our Strategy</w:t>
      </w:r>
      <w:r w:rsidR="00C57A6F" w:rsidRPr="00047DB6">
        <w:rPr>
          <w:rFonts w:ascii="Calibri" w:hAnsi="Calibri" w:cs="Calibri"/>
        </w:rPr>
        <w:t xml:space="preserve"> and key objectives </w:t>
      </w:r>
      <w:r w:rsidRPr="00047DB6">
        <w:rPr>
          <w:rFonts w:ascii="Calibri" w:hAnsi="Calibri" w:cs="Calibri"/>
        </w:rPr>
        <w:t xml:space="preserve">is not negatively impacted by significant </w:t>
      </w:r>
      <w:r w:rsidR="007152B8">
        <w:rPr>
          <w:rFonts w:ascii="Calibri" w:hAnsi="Calibri" w:cs="Calibri"/>
        </w:rPr>
        <w:t xml:space="preserve">unanticipated </w:t>
      </w:r>
      <w:r w:rsidRPr="00047DB6">
        <w:rPr>
          <w:rFonts w:ascii="Calibri" w:hAnsi="Calibri" w:cs="Calibri"/>
        </w:rPr>
        <w:t>risk</w:t>
      </w:r>
      <w:r w:rsidR="001D7A57">
        <w:rPr>
          <w:rFonts w:ascii="Calibri" w:hAnsi="Calibri" w:cs="Calibri"/>
        </w:rPr>
        <w:t>.</w:t>
      </w:r>
    </w:p>
    <w:p w14:paraId="55CCEA4B" w14:textId="63626BDF" w:rsidR="00EC6687" w:rsidRPr="00047DB6" w:rsidRDefault="00EC6687" w:rsidP="00727C9A">
      <w:pPr>
        <w:numPr>
          <w:ilvl w:val="0"/>
          <w:numId w:val="5"/>
        </w:numPr>
        <w:tabs>
          <w:tab w:val="clear" w:pos="720"/>
          <w:tab w:val="num" w:pos="567"/>
        </w:tabs>
        <w:spacing w:after="0"/>
        <w:ind w:hanging="436"/>
        <w:jc w:val="both"/>
        <w:rPr>
          <w:rFonts w:ascii="Calibri" w:hAnsi="Calibri" w:cs="Calibri"/>
        </w:rPr>
      </w:pPr>
      <w:r w:rsidRPr="00047DB6">
        <w:rPr>
          <w:rFonts w:ascii="Calibri" w:hAnsi="Calibri" w:cs="Calibri"/>
        </w:rPr>
        <w:t xml:space="preserve">ensure reliable contingency plans </w:t>
      </w:r>
      <w:r w:rsidR="00BF04E8" w:rsidRPr="00047DB6">
        <w:rPr>
          <w:rFonts w:ascii="Calibri" w:hAnsi="Calibri" w:cs="Calibri"/>
        </w:rPr>
        <w:t>are in place</w:t>
      </w:r>
      <w:r w:rsidR="00552880">
        <w:rPr>
          <w:rFonts w:ascii="Calibri" w:hAnsi="Calibri" w:cs="Calibri"/>
        </w:rPr>
        <w:t xml:space="preserve"> and developed </w:t>
      </w:r>
      <w:r w:rsidR="00BF04E8" w:rsidRPr="00047DB6">
        <w:rPr>
          <w:rFonts w:ascii="Calibri" w:hAnsi="Calibri" w:cs="Calibri"/>
        </w:rPr>
        <w:t xml:space="preserve">to </w:t>
      </w:r>
      <w:r w:rsidRPr="00047DB6">
        <w:rPr>
          <w:rFonts w:ascii="Calibri" w:hAnsi="Calibri" w:cs="Calibri"/>
        </w:rPr>
        <w:t>deal with unexpected risks.</w:t>
      </w:r>
    </w:p>
    <w:p w14:paraId="41CBE7AF" w14:textId="4B05E391" w:rsidR="00D00DA6" w:rsidRPr="00047DB6" w:rsidRDefault="00D00DA6" w:rsidP="00727C9A">
      <w:pPr>
        <w:numPr>
          <w:ilvl w:val="0"/>
          <w:numId w:val="5"/>
        </w:numPr>
        <w:tabs>
          <w:tab w:val="clear" w:pos="720"/>
          <w:tab w:val="num" w:pos="567"/>
        </w:tabs>
        <w:spacing w:after="0"/>
        <w:ind w:hanging="436"/>
        <w:jc w:val="both"/>
        <w:rPr>
          <w:rFonts w:ascii="Calibri" w:hAnsi="Calibri" w:cs="Calibri"/>
        </w:rPr>
      </w:pPr>
      <w:r w:rsidRPr="00D00DA6">
        <w:rPr>
          <w:rFonts w:ascii="Calibri" w:hAnsi="Calibri" w:cs="Calibri"/>
        </w:rPr>
        <w:t xml:space="preserve">embed risk management into </w:t>
      </w:r>
      <w:r w:rsidRPr="00047DB6">
        <w:rPr>
          <w:rFonts w:ascii="Calibri" w:hAnsi="Calibri" w:cs="Calibri"/>
        </w:rPr>
        <w:t xml:space="preserve">our </w:t>
      </w:r>
      <w:r w:rsidR="00047DB6" w:rsidRPr="00D00DA6">
        <w:rPr>
          <w:rFonts w:ascii="Calibri" w:hAnsi="Calibri" w:cs="Calibri"/>
        </w:rPr>
        <w:t>decision-making</w:t>
      </w:r>
      <w:r w:rsidRPr="00D00DA6">
        <w:rPr>
          <w:rFonts w:ascii="Calibri" w:hAnsi="Calibri" w:cs="Calibri"/>
        </w:rPr>
        <w:t xml:space="preserve"> processes.</w:t>
      </w:r>
    </w:p>
    <w:p w14:paraId="314511D1" w14:textId="5F6DB416" w:rsidR="00EC6687" w:rsidRPr="00047DB6" w:rsidRDefault="00EC6687" w:rsidP="00727C9A">
      <w:pPr>
        <w:numPr>
          <w:ilvl w:val="0"/>
          <w:numId w:val="5"/>
        </w:numPr>
        <w:tabs>
          <w:tab w:val="clear" w:pos="720"/>
          <w:tab w:val="num" w:pos="567"/>
        </w:tabs>
        <w:spacing w:after="0"/>
        <w:ind w:left="567" w:hanging="283"/>
        <w:jc w:val="both"/>
        <w:rPr>
          <w:rFonts w:ascii="Calibri" w:hAnsi="Calibri" w:cs="Calibri"/>
        </w:rPr>
      </w:pPr>
      <w:r w:rsidRPr="00047DB6">
        <w:rPr>
          <w:rFonts w:ascii="Calibri" w:hAnsi="Calibri" w:cs="Calibri"/>
        </w:rPr>
        <w:t>promote an innovative and less risk-averse culture in which taking risks within the University’s risk appetite range in pursuit of opportunities is encouraged and supported.</w:t>
      </w:r>
    </w:p>
    <w:p w14:paraId="03FA404F" w14:textId="77777777" w:rsidR="00D455CB" w:rsidRDefault="00D455CB" w:rsidP="00727C9A">
      <w:pPr>
        <w:spacing w:after="0"/>
        <w:jc w:val="both"/>
        <w:rPr>
          <w:rFonts w:ascii="Calibri" w:hAnsi="Calibri" w:cs="Calibri"/>
          <w:b/>
          <w:bCs/>
        </w:rPr>
      </w:pPr>
    </w:p>
    <w:p w14:paraId="47AABE79" w14:textId="506ADF6C" w:rsidR="00A23F7E" w:rsidRPr="00A23F7E" w:rsidRDefault="00A23F7E" w:rsidP="00AC6671">
      <w:pPr>
        <w:spacing w:after="0"/>
        <w:jc w:val="both"/>
        <w:rPr>
          <w:rFonts w:ascii="Calibri" w:hAnsi="Calibri" w:cs="Calibri"/>
          <w:b/>
          <w:bCs/>
        </w:rPr>
      </w:pPr>
      <w:r w:rsidRPr="00A23F7E">
        <w:rPr>
          <w:rFonts w:ascii="Calibri" w:hAnsi="Calibri" w:cs="Calibri"/>
          <w:b/>
          <w:bCs/>
        </w:rPr>
        <w:t>Scope</w:t>
      </w:r>
    </w:p>
    <w:p w14:paraId="32FDB209" w14:textId="2ED2E30C" w:rsidR="00DA12ED" w:rsidRDefault="00D330B8" w:rsidP="00AC6671">
      <w:pPr>
        <w:jc w:val="both"/>
        <w:rPr>
          <w:rFonts w:ascii="Calibri" w:hAnsi="Calibri" w:cs="Calibri"/>
        </w:rPr>
      </w:pPr>
      <w:r w:rsidRPr="00D330B8">
        <w:rPr>
          <w:rFonts w:ascii="Calibri" w:hAnsi="Calibri" w:cs="Calibri"/>
        </w:rPr>
        <w:t xml:space="preserve">This Policy extends to </w:t>
      </w:r>
      <w:r w:rsidR="0000205E" w:rsidRPr="00D330B8">
        <w:rPr>
          <w:rFonts w:ascii="Calibri" w:hAnsi="Calibri" w:cs="Calibri"/>
        </w:rPr>
        <w:t>all</w:t>
      </w:r>
      <w:r w:rsidRPr="00D330B8">
        <w:rPr>
          <w:rFonts w:ascii="Calibri" w:hAnsi="Calibri" w:cs="Calibri"/>
        </w:rPr>
        <w:t xml:space="preserve"> the University’s activities and operations</w:t>
      </w:r>
      <w:r w:rsidR="005E2E13">
        <w:rPr>
          <w:rFonts w:ascii="Calibri" w:hAnsi="Calibri" w:cs="Calibri"/>
        </w:rPr>
        <w:t>.  A</w:t>
      </w:r>
      <w:r w:rsidR="008F718D">
        <w:rPr>
          <w:rFonts w:ascii="Calibri" w:hAnsi="Calibri" w:cs="Calibri"/>
        </w:rPr>
        <w:t xml:space="preserve">ll staff </w:t>
      </w:r>
      <w:r w:rsidR="00FE342B">
        <w:rPr>
          <w:rFonts w:ascii="Calibri" w:hAnsi="Calibri" w:cs="Calibri"/>
        </w:rPr>
        <w:t xml:space="preserve">have </w:t>
      </w:r>
      <w:r w:rsidR="00FE342B" w:rsidRPr="00727C9A">
        <w:rPr>
          <w:rFonts w:ascii="Calibri" w:hAnsi="Calibri" w:cs="Calibri"/>
        </w:rPr>
        <w:t xml:space="preserve">responsibility </w:t>
      </w:r>
      <w:r w:rsidR="00134DEF" w:rsidRPr="00727C9A">
        <w:rPr>
          <w:rFonts w:ascii="Calibri" w:hAnsi="Calibri" w:cs="Calibri"/>
        </w:rPr>
        <w:t xml:space="preserve">for </w:t>
      </w:r>
      <w:r w:rsidR="00930983" w:rsidRPr="00727C9A">
        <w:rPr>
          <w:rFonts w:ascii="Calibri" w:hAnsi="Calibri" w:cs="Calibri"/>
        </w:rPr>
        <w:t>identifying</w:t>
      </w:r>
      <w:r w:rsidR="00805B98" w:rsidRPr="00727C9A">
        <w:rPr>
          <w:rFonts w:ascii="Calibri" w:hAnsi="Calibri" w:cs="Calibri"/>
        </w:rPr>
        <w:t xml:space="preserve"> and reporting risks within their respective areas of expertise</w:t>
      </w:r>
      <w:r w:rsidR="00930983" w:rsidRPr="00727C9A">
        <w:rPr>
          <w:rFonts w:ascii="Calibri" w:hAnsi="Calibri" w:cs="Calibri"/>
        </w:rPr>
        <w:t xml:space="preserve"> and </w:t>
      </w:r>
      <w:r w:rsidR="008F718D" w:rsidRPr="00727C9A">
        <w:rPr>
          <w:rFonts w:ascii="Calibri" w:hAnsi="Calibri" w:cs="Calibri"/>
        </w:rPr>
        <w:t>should be aware</w:t>
      </w:r>
      <w:r w:rsidR="008201A4">
        <w:rPr>
          <w:rFonts w:ascii="Calibri" w:hAnsi="Calibri" w:cs="Calibri"/>
        </w:rPr>
        <w:t xml:space="preserve"> of and </w:t>
      </w:r>
      <w:r w:rsidR="00695FBE">
        <w:rPr>
          <w:rFonts w:ascii="Calibri" w:hAnsi="Calibri" w:cs="Calibri"/>
        </w:rPr>
        <w:t xml:space="preserve">participate </w:t>
      </w:r>
      <w:r w:rsidR="001D2581">
        <w:rPr>
          <w:rFonts w:ascii="Calibri" w:hAnsi="Calibri" w:cs="Calibri"/>
        </w:rPr>
        <w:t>in</w:t>
      </w:r>
      <w:r w:rsidR="00456280">
        <w:rPr>
          <w:rFonts w:ascii="Calibri" w:hAnsi="Calibri" w:cs="Calibri"/>
        </w:rPr>
        <w:t xml:space="preserve"> implementation of this policy. </w:t>
      </w:r>
      <w:r w:rsidR="008201A4">
        <w:rPr>
          <w:rFonts w:ascii="Calibri" w:hAnsi="Calibri" w:cs="Calibri"/>
        </w:rPr>
        <w:t xml:space="preserve"> </w:t>
      </w:r>
    </w:p>
    <w:p w14:paraId="64AE7622" w14:textId="4DFAD389" w:rsidR="0000205E" w:rsidRPr="0000205E" w:rsidRDefault="0000205E" w:rsidP="00AC6671">
      <w:pPr>
        <w:spacing w:after="0"/>
        <w:jc w:val="both"/>
        <w:rPr>
          <w:rFonts w:ascii="Calibri" w:hAnsi="Calibri" w:cs="Calibri"/>
          <w:b/>
          <w:bCs/>
        </w:rPr>
      </w:pPr>
      <w:r w:rsidRPr="0000205E">
        <w:rPr>
          <w:rFonts w:ascii="Calibri" w:hAnsi="Calibri" w:cs="Calibri"/>
          <w:b/>
          <w:bCs/>
        </w:rPr>
        <w:t>Definitions</w:t>
      </w:r>
    </w:p>
    <w:p w14:paraId="57380AD1" w14:textId="4DB61D34" w:rsidR="00475DE4" w:rsidRDefault="00475DE4" w:rsidP="00AC6671">
      <w:pPr>
        <w:jc w:val="both"/>
        <w:rPr>
          <w:rFonts w:ascii="Calibri" w:hAnsi="Calibri" w:cs="Calibri"/>
          <w:lang w:bidi="en-GB"/>
        </w:rPr>
      </w:pPr>
      <w:r w:rsidRPr="00475DE4">
        <w:rPr>
          <w:rFonts w:ascii="Calibri" w:hAnsi="Calibri" w:cs="Calibri"/>
          <w:lang w:bidi="en-GB"/>
        </w:rPr>
        <w:t xml:space="preserve">Risk exists </w:t>
      </w:r>
      <w:proofErr w:type="gramStart"/>
      <w:r w:rsidRPr="00475DE4">
        <w:rPr>
          <w:rFonts w:ascii="Calibri" w:hAnsi="Calibri" w:cs="Calibri"/>
          <w:lang w:bidi="en-GB"/>
        </w:rPr>
        <w:t>as a consequence of</w:t>
      </w:r>
      <w:proofErr w:type="gramEnd"/>
      <w:r w:rsidRPr="00475DE4">
        <w:rPr>
          <w:rFonts w:ascii="Calibri" w:hAnsi="Calibri" w:cs="Calibri"/>
          <w:lang w:bidi="en-GB"/>
        </w:rPr>
        <w:t xml:space="preserve"> uncertainty and is present in all University activities. </w:t>
      </w:r>
      <w:r w:rsidR="00063CEF">
        <w:rPr>
          <w:rFonts w:ascii="Calibri" w:hAnsi="Calibri" w:cs="Calibri"/>
          <w:lang w:bidi="en-GB"/>
        </w:rPr>
        <w:t xml:space="preserve"> </w:t>
      </w:r>
      <w:r w:rsidRPr="00475DE4">
        <w:rPr>
          <w:rFonts w:ascii="Calibri" w:hAnsi="Calibri" w:cs="Calibri"/>
          <w:lang w:bidi="en-GB"/>
        </w:rPr>
        <w:t>The exposure is normally expressed in terms of the failure to reach an objective and the operational, reputational and financial damage that may be incurred as a result.</w:t>
      </w:r>
    </w:p>
    <w:p w14:paraId="5D729492" w14:textId="77777777" w:rsidR="00B655A2" w:rsidRPr="00A235B1" w:rsidRDefault="00B655A2" w:rsidP="00B655A2">
      <w:pPr>
        <w:jc w:val="both"/>
        <w:rPr>
          <w:rFonts w:ascii="Calibri" w:hAnsi="Calibri" w:cs="Calibri"/>
        </w:rPr>
      </w:pPr>
      <w:r w:rsidRPr="004B0502">
        <w:rPr>
          <w:rFonts w:ascii="Calibri" w:hAnsi="Calibri" w:cs="Calibri"/>
        </w:rPr>
        <w:t xml:space="preserve">Risk management is defined as the planned and systematic approach to identifying, </w:t>
      </w:r>
      <w:r>
        <w:rPr>
          <w:rFonts w:ascii="Calibri" w:hAnsi="Calibri" w:cs="Calibri"/>
        </w:rPr>
        <w:t xml:space="preserve">evaluating, </w:t>
      </w:r>
      <w:r w:rsidRPr="004B0502">
        <w:rPr>
          <w:rFonts w:ascii="Calibri" w:hAnsi="Calibri" w:cs="Calibri"/>
        </w:rPr>
        <w:t xml:space="preserve">addressing, and </w:t>
      </w:r>
      <w:r>
        <w:rPr>
          <w:rFonts w:ascii="Calibri" w:hAnsi="Calibri" w:cs="Calibri"/>
        </w:rPr>
        <w:t xml:space="preserve">monitoring </w:t>
      </w:r>
      <w:r w:rsidRPr="004B0502">
        <w:rPr>
          <w:rFonts w:ascii="Calibri" w:hAnsi="Calibri" w:cs="Calibri"/>
        </w:rPr>
        <w:t>risk</w:t>
      </w:r>
      <w:r>
        <w:rPr>
          <w:rFonts w:ascii="Calibri" w:hAnsi="Calibri" w:cs="Calibri"/>
        </w:rPr>
        <w:t xml:space="preserve">.  </w:t>
      </w:r>
    </w:p>
    <w:p w14:paraId="5DBB3FA0" w14:textId="6031B5BD" w:rsidR="00F178A4" w:rsidRPr="008B5441" w:rsidRDefault="00401948" w:rsidP="00F178A4">
      <w:pPr>
        <w:jc w:val="both"/>
        <w:rPr>
          <w:rFonts w:ascii="Calibri" w:hAnsi="Calibri" w:cs="Calibri"/>
          <w:lang w:bidi="en-GB"/>
        </w:rPr>
      </w:pPr>
      <w:r w:rsidRPr="008B5441">
        <w:rPr>
          <w:rFonts w:ascii="Calibri" w:hAnsi="Calibri" w:cs="Calibri"/>
          <w:lang w:bidi="en-GB"/>
        </w:rPr>
        <w:t xml:space="preserve">Strategic risk </w:t>
      </w:r>
      <w:r w:rsidR="00F178A4" w:rsidRPr="008B5441">
        <w:rPr>
          <w:rFonts w:ascii="Calibri" w:hAnsi="Calibri" w:cs="Calibri"/>
          <w:lang w:bidi="en-GB"/>
        </w:rPr>
        <w:t xml:space="preserve">is defined as the possibility that an action, event or set of circumstances will </w:t>
      </w:r>
      <w:proofErr w:type="gramStart"/>
      <w:r w:rsidR="00F178A4" w:rsidRPr="008B5441">
        <w:rPr>
          <w:rFonts w:ascii="Calibri" w:hAnsi="Calibri" w:cs="Calibri"/>
          <w:lang w:bidi="en-GB"/>
        </w:rPr>
        <w:t>have an effect on</w:t>
      </w:r>
      <w:proofErr w:type="gramEnd"/>
      <w:r w:rsidR="00F178A4" w:rsidRPr="008B5441">
        <w:rPr>
          <w:rFonts w:ascii="Calibri" w:hAnsi="Calibri" w:cs="Calibri"/>
          <w:lang w:bidi="en-GB"/>
        </w:rPr>
        <w:t xml:space="preserve"> the University’s ability to achieve its </w:t>
      </w:r>
      <w:r w:rsidR="003A5AF9" w:rsidRPr="008B5441">
        <w:rPr>
          <w:rFonts w:ascii="Calibri" w:hAnsi="Calibri" w:cs="Calibri"/>
          <w:lang w:bidi="en-GB"/>
        </w:rPr>
        <w:t xml:space="preserve">strategic </w:t>
      </w:r>
      <w:r w:rsidR="00F178A4" w:rsidRPr="008B5441">
        <w:rPr>
          <w:rFonts w:ascii="Calibri" w:hAnsi="Calibri" w:cs="Calibri"/>
          <w:lang w:bidi="en-GB"/>
        </w:rPr>
        <w:t>objectives</w:t>
      </w:r>
      <w:r w:rsidR="007C1FB7" w:rsidRPr="008B5441">
        <w:rPr>
          <w:rFonts w:ascii="Calibri" w:hAnsi="Calibri" w:cs="Calibri"/>
          <w:lang w:bidi="en-GB"/>
        </w:rPr>
        <w:t xml:space="preserve"> or </w:t>
      </w:r>
      <w:r w:rsidR="0082280A" w:rsidRPr="008B5441">
        <w:rPr>
          <w:rFonts w:ascii="Calibri" w:hAnsi="Calibri" w:cs="Calibri"/>
          <w:lang w:bidi="en-GB"/>
        </w:rPr>
        <w:t xml:space="preserve">have an impact on the University </w:t>
      </w:r>
      <w:r w:rsidR="00CA2A43" w:rsidRPr="008B5441">
        <w:rPr>
          <w:rFonts w:ascii="Calibri" w:hAnsi="Calibri" w:cs="Calibri"/>
          <w:lang w:bidi="en-GB"/>
        </w:rPr>
        <w:t xml:space="preserve">as a </w:t>
      </w:r>
      <w:r w:rsidR="00730C42" w:rsidRPr="008B5441">
        <w:rPr>
          <w:rFonts w:ascii="Calibri" w:hAnsi="Calibri" w:cs="Calibri"/>
          <w:lang w:bidi="en-GB"/>
        </w:rPr>
        <w:t>whole</w:t>
      </w:r>
      <w:r w:rsidR="007C415B" w:rsidRPr="008B5441">
        <w:rPr>
          <w:rFonts w:ascii="Calibri" w:hAnsi="Calibri" w:cs="Calibri"/>
          <w:lang w:bidi="en-GB"/>
        </w:rPr>
        <w:t xml:space="preserve">.  </w:t>
      </w:r>
      <w:r w:rsidR="00822957" w:rsidRPr="008B5441">
        <w:rPr>
          <w:rFonts w:ascii="Calibri" w:hAnsi="Calibri" w:cs="Calibri"/>
          <w:lang w:bidi="en-GB"/>
        </w:rPr>
        <w:t xml:space="preserve">These are risks that </w:t>
      </w:r>
      <w:r w:rsidR="003A5AF9" w:rsidRPr="008B5441">
        <w:rPr>
          <w:rFonts w:ascii="Calibri" w:hAnsi="Calibri" w:cs="Calibri"/>
          <w:lang w:bidi="en-GB"/>
        </w:rPr>
        <w:t xml:space="preserve">should </w:t>
      </w:r>
      <w:r w:rsidR="00536A02" w:rsidRPr="008B5441">
        <w:rPr>
          <w:rFonts w:ascii="Calibri" w:hAnsi="Calibri" w:cs="Calibri"/>
          <w:lang w:bidi="en-GB"/>
        </w:rPr>
        <w:t xml:space="preserve">be collectively monitored </w:t>
      </w:r>
      <w:r w:rsidR="00D24434" w:rsidRPr="008B5441">
        <w:rPr>
          <w:rFonts w:ascii="Calibri" w:hAnsi="Calibri" w:cs="Calibri"/>
          <w:lang w:bidi="en-GB"/>
        </w:rPr>
        <w:t xml:space="preserve">or managed by </w:t>
      </w:r>
      <w:r w:rsidR="00D401BF" w:rsidRPr="008B5441">
        <w:rPr>
          <w:rFonts w:ascii="Calibri" w:hAnsi="Calibri" w:cs="Calibri"/>
          <w:lang w:bidi="en-GB"/>
        </w:rPr>
        <w:t xml:space="preserve">the governing body, University Court and </w:t>
      </w:r>
      <w:r w:rsidR="009F71B2" w:rsidRPr="008B5441">
        <w:rPr>
          <w:rFonts w:ascii="Calibri" w:hAnsi="Calibri" w:cs="Calibri"/>
          <w:lang w:bidi="en-GB"/>
        </w:rPr>
        <w:t xml:space="preserve">the Senior Management Team. </w:t>
      </w:r>
      <w:r w:rsidR="00EF471E" w:rsidRPr="008B5441">
        <w:rPr>
          <w:rFonts w:ascii="Calibri" w:hAnsi="Calibri" w:cs="Calibri"/>
          <w:lang w:bidi="en-GB"/>
        </w:rPr>
        <w:t xml:space="preserve"> </w:t>
      </w:r>
      <w:r w:rsidR="00536A02" w:rsidRPr="008B5441">
        <w:rPr>
          <w:rFonts w:ascii="Calibri" w:hAnsi="Calibri" w:cs="Calibri"/>
          <w:lang w:bidi="en-GB"/>
        </w:rPr>
        <w:t xml:space="preserve"> </w:t>
      </w:r>
    </w:p>
    <w:p w14:paraId="38C3377B" w14:textId="07F9F14A" w:rsidR="00401948" w:rsidRPr="008B5441" w:rsidRDefault="00401948" w:rsidP="00AC6671">
      <w:pPr>
        <w:jc w:val="both"/>
        <w:rPr>
          <w:rFonts w:ascii="Calibri" w:hAnsi="Calibri" w:cs="Calibri"/>
          <w:lang w:bidi="en-GB"/>
        </w:rPr>
      </w:pPr>
      <w:r w:rsidRPr="008B5441">
        <w:rPr>
          <w:rFonts w:ascii="Calibri" w:hAnsi="Calibri" w:cs="Calibri"/>
          <w:lang w:bidi="en-GB"/>
        </w:rPr>
        <w:lastRenderedPageBreak/>
        <w:t xml:space="preserve">Operational </w:t>
      </w:r>
      <w:r w:rsidR="000973B7" w:rsidRPr="008B5441">
        <w:rPr>
          <w:rFonts w:ascii="Calibri" w:hAnsi="Calibri" w:cs="Calibri"/>
          <w:lang w:bidi="en-GB"/>
        </w:rPr>
        <w:t xml:space="preserve">level </w:t>
      </w:r>
      <w:r w:rsidRPr="008B5441">
        <w:rPr>
          <w:rFonts w:ascii="Calibri" w:hAnsi="Calibri" w:cs="Calibri"/>
          <w:lang w:bidi="en-GB"/>
        </w:rPr>
        <w:t xml:space="preserve">risk </w:t>
      </w:r>
      <w:r w:rsidR="00DD0772" w:rsidRPr="008B5441">
        <w:rPr>
          <w:rFonts w:ascii="Calibri" w:hAnsi="Calibri" w:cs="Calibri"/>
          <w:lang w:bidi="en-GB"/>
        </w:rPr>
        <w:t xml:space="preserve">is the possibility </w:t>
      </w:r>
      <w:r w:rsidR="00406751" w:rsidRPr="008B5441">
        <w:rPr>
          <w:rFonts w:ascii="Calibri" w:hAnsi="Calibri" w:cs="Calibri"/>
          <w:lang w:bidi="en-GB"/>
        </w:rPr>
        <w:t xml:space="preserve">that an action, event or set of circumstances will </w:t>
      </w:r>
      <w:proofErr w:type="gramStart"/>
      <w:r w:rsidR="000140D1" w:rsidRPr="008B5441">
        <w:rPr>
          <w:rFonts w:ascii="Calibri" w:hAnsi="Calibri" w:cs="Calibri"/>
          <w:lang w:bidi="en-GB"/>
        </w:rPr>
        <w:t>have an effect on</w:t>
      </w:r>
      <w:proofErr w:type="gramEnd"/>
      <w:r w:rsidR="000140D1" w:rsidRPr="008B5441">
        <w:rPr>
          <w:rFonts w:ascii="Calibri" w:hAnsi="Calibri" w:cs="Calibri"/>
          <w:lang w:bidi="en-GB"/>
        </w:rPr>
        <w:t xml:space="preserve"> </w:t>
      </w:r>
      <w:r w:rsidR="00E7496C" w:rsidRPr="008B5441">
        <w:rPr>
          <w:rFonts w:ascii="Calibri" w:hAnsi="Calibri" w:cs="Calibri"/>
          <w:lang w:bidi="en-GB"/>
        </w:rPr>
        <w:t xml:space="preserve">the </w:t>
      </w:r>
      <w:r w:rsidR="008D2BDB" w:rsidRPr="008B5441">
        <w:rPr>
          <w:rFonts w:ascii="Calibri" w:hAnsi="Calibri" w:cs="Calibri"/>
          <w:lang w:bidi="en-GB"/>
        </w:rPr>
        <w:t xml:space="preserve">ability </w:t>
      </w:r>
      <w:r w:rsidR="00213CD0" w:rsidRPr="008B5441">
        <w:rPr>
          <w:rFonts w:ascii="Calibri" w:hAnsi="Calibri" w:cs="Calibri"/>
          <w:lang w:bidi="en-GB"/>
        </w:rPr>
        <w:t xml:space="preserve">of a </w:t>
      </w:r>
      <w:r w:rsidR="00F93EDA" w:rsidRPr="008B5441">
        <w:rPr>
          <w:rFonts w:ascii="Calibri" w:hAnsi="Calibri" w:cs="Calibri"/>
          <w:lang w:bidi="en-GB"/>
        </w:rPr>
        <w:t xml:space="preserve">faculty </w:t>
      </w:r>
      <w:r w:rsidR="009E4020" w:rsidRPr="008B5441">
        <w:rPr>
          <w:rFonts w:ascii="Calibri" w:hAnsi="Calibri" w:cs="Calibri"/>
          <w:lang w:bidi="en-GB"/>
        </w:rPr>
        <w:t>or directorate</w:t>
      </w:r>
      <w:r w:rsidR="000811E8" w:rsidRPr="008B5441">
        <w:rPr>
          <w:rFonts w:ascii="Calibri" w:hAnsi="Calibri" w:cs="Calibri"/>
          <w:lang w:bidi="en-GB"/>
        </w:rPr>
        <w:t xml:space="preserve"> </w:t>
      </w:r>
      <w:r w:rsidR="000B1AA0" w:rsidRPr="008B5441">
        <w:rPr>
          <w:rFonts w:ascii="Calibri" w:hAnsi="Calibri" w:cs="Calibri"/>
          <w:lang w:bidi="en-GB"/>
        </w:rPr>
        <w:t xml:space="preserve">to </w:t>
      </w:r>
      <w:r w:rsidR="00A50079" w:rsidRPr="008B5441">
        <w:rPr>
          <w:rFonts w:ascii="Calibri" w:hAnsi="Calibri" w:cs="Calibri"/>
          <w:lang w:bidi="en-GB"/>
        </w:rPr>
        <w:t xml:space="preserve">achieve its </w:t>
      </w:r>
      <w:r w:rsidR="00B36C94" w:rsidRPr="008B5441">
        <w:rPr>
          <w:rFonts w:ascii="Calibri" w:hAnsi="Calibri" w:cs="Calibri"/>
          <w:lang w:bidi="en-GB"/>
        </w:rPr>
        <w:t>objectives</w:t>
      </w:r>
      <w:r w:rsidR="00C13253" w:rsidRPr="008B5441">
        <w:rPr>
          <w:rFonts w:ascii="Calibri" w:hAnsi="Calibri" w:cs="Calibri"/>
          <w:lang w:bidi="en-GB"/>
        </w:rPr>
        <w:t xml:space="preserve">.  </w:t>
      </w:r>
      <w:r w:rsidR="00B47A92" w:rsidRPr="008B5441">
        <w:rPr>
          <w:rFonts w:ascii="Calibri" w:hAnsi="Calibri" w:cs="Calibri"/>
          <w:lang w:bidi="en-GB"/>
        </w:rPr>
        <w:t xml:space="preserve">The risk is </w:t>
      </w:r>
      <w:r w:rsidR="00C13253" w:rsidRPr="008B5441">
        <w:rPr>
          <w:rFonts w:ascii="Calibri" w:hAnsi="Calibri" w:cs="Calibri"/>
          <w:lang w:bidi="en-GB"/>
        </w:rPr>
        <w:t xml:space="preserve">generally </w:t>
      </w:r>
      <w:r w:rsidR="00B47A92" w:rsidRPr="008B5441">
        <w:rPr>
          <w:rFonts w:ascii="Calibri" w:hAnsi="Calibri" w:cs="Calibri"/>
          <w:lang w:bidi="en-GB"/>
        </w:rPr>
        <w:t xml:space="preserve">associated </w:t>
      </w:r>
      <w:r w:rsidR="00EF04AC" w:rsidRPr="008B5441">
        <w:rPr>
          <w:rFonts w:ascii="Calibri" w:hAnsi="Calibri" w:cs="Calibri"/>
          <w:lang w:bidi="en-GB"/>
        </w:rPr>
        <w:t xml:space="preserve">operational </w:t>
      </w:r>
      <w:r w:rsidR="001C7B79" w:rsidRPr="008B5441">
        <w:rPr>
          <w:rFonts w:ascii="Calibri" w:hAnsi="Calibri" w:cs="Calibri"/>
          <w:lang w:bidi="en-GB"/>
        </w:rPr>
        <w:t xml:space="preserve">procedures and systems </w:t>
      </w:r>
      <w:r w:rsidR="0045082B" w:rsidRPr="008B5441">
        <w:rPr>
          <w:rFonts w:ascii="Calibri" w:hAnsi="Calibri" w:cs="Calibri"/>
          <w:lang w:bidi="en-GB"/>
        </w:rPr>
        <w:t xml:space="preserve">and </w:t>
      </w:r>
      <w:r w:rsidR="000B1E3A" w:rsidRPr="008B5441">
        <w:rPr>
          <w:rFonts w:ascii="Calibri" w:hAnsi="Calibri" w:cs="Calibri"/>
          <w:lang w:bidi="en-GB"/>
        </w:rPr>
        <w:t xml:space="preserve">may results from </w:t>
      </w:r>
      <w:r w:rsidR="002A7C0E" w:rsidRPr="008B5441">
        <w:rPr>
          <w:rFonts w:ascii="Calibri" w:hAnsi="Calibri" w:cs="Calibri"/>
          <w:lang w:bidi="en-GB"/>
        </w:rPr>
        <w:t>inadequate or failed internal processes</w:t>
      </w:r>
      <w:r w:rsidR="004C20C6" w:rsidRPr="008B5441">
        <w:rPr>
          <w:rFonts w:ascii="Calibri" w:hAnsi="Calibri" w:cs="Calibri"/>
          <w:lang w:bidi="en-GB"/>
        </w:rPr>
        <w:t xml:space="preserve"> and systems or </w:t>
      </w:r>
      <w:r w:rsidR="005D1E7A" w:rsidRPr="008B5441">
        <w:rPr>
          <w:rFonts w:ascii="Calibri" w:hAnsi="Calibri" w:cs="Calibri"/>
          <w:lang w:bidi="en-GB"/>
        </w:rPr>
        <w:t>human error</w:t>
      </w:r>
      <w:r w:rsidR="002A7C0E" w:rsidRPr="008B5441">
        <w:rPr>
          <w:rFonts w:ascii="Calibri" w:hAnsi="Calibri" w:cs="Calibri"/>
          <w:lang w:bidi="en-GB"/>
        </w:rPr>
        <w:t xml:space="preserve">. </w:t>
      </w:r>
      <w:r w:rsidR="000B1E3A" w:rsidRPr="008B5441">
        <w:rPr>
          <w:rFonts w:ascii="Calibri" w:hAnsi="Calibri" w:cs="Calibri"/>
          <w:lang w:bidi="en-GB"/>
        </w:rPr>
        <w:t xml:space="preserve">  </w:t>
      </w:r>
      <w:r w:rsidR="00291E8E" w:rsidRPr="008B5441">
        <w:rPr>
          <w:rFonts w:ascii="Calibri" w:hAnsi="Calibri" w:cs="Calibri"/>
          <w:lang w:bidi="en-GB"/>
        </w:rPr>
        <w:t>A f</w:t>
      </w:r>
      <w:r w:rsidR="005126C4" w:rsidRPr="008B5441">
        <w:rPr>
          <w:rFonts w:ascii="Calibri" w:hAnsi="Calibri" w:cs="Calibri"/>
          <w:lang w:bidi="en-GB"/>
        </w:rPr>
        <w:t>aculty</w:t>
      </w:r>
      <w:r w:rsidR="006E00E3" w:rsidRPr="008B5441">
        <w:rPr>
          <w:rFonts w:ascii="Calibri" w:hAnsi="Calibri" w:cs="Calibri"/>
          <w:lang w:bidi="en-GB"/>
        </w:rPr>
        <w:t xml:space="preserve">, </w:t>
      </w:r>
      <w:r w:rsidR="005126C4" w:rsidRPr="008B5441">
        <w:rPr>
          <w:rFonts w:ascii="Calibri" w:hAnsi="Calibri" w:cs="Calibri"/>
          <w:lang w:bidi="en-GB"/>
        </w:rPr>
        <w:t>departmental</w:t>
      </w:r>
      <w:r w:rsidR="006E00E3" w:rsidRPr="008B5441">
        <w:rPr>
          <w:rFonts w:ascii="Calibri" w:hAnsi="Calibri" w:cs="Calibri"/>
          <w:lang w:bidi="en-GB"/>
        </w:rPr>
        <w:t xml:space="preserve"> or project level </w:t>
      </w:r>
      <w:r w:rsidR="00D975BA" w:rsidRPr="008B5441">
        <w:rPr>
          <w:rFonts w:ascii="Calibri" w:hAnsi="Calibri" w:cs="Calibri"/>
          <w:lang w:bidi="en-GB"/>
        </w:rPr>
        <w:t xml:space="preserve">risk </w:t>
      </w:r>
      <w:r w:rsidR="00291E8E" w:rsidRPr="008B5441">
        <w:rPr>
          <w:rFonts w:ascii="Calibri" w:hAnsi="Calibri" w:cs="Calibri"/>
          <w:lang w:bidi="en-GB"/>
        </w:rPr>
        <w:t xml:space="preserve">could </w:t>
      </w:r>
      <w:r w:rsidR="00DF028B" w:rsidRPr="008B5441">
        <w:rPr>
          <w:rFonts w:ascii="Calibri" w:hAnsi="Calibri" w:cs="Calibri"/>
          <w:lang w:bidi="en-GB"/>
        </w:rPr>
        <w:t xml:space="preserve">be </w:t>
      </w:r>
      <w:r w:rsidR="00DC64A7" w:rsidRPr="008B5441">
        <w:rPr>
          <w:rFonts w:ascii="Calibri" w:hAnsi="Calibri" w:cs="Calibri"/>
          <w:lang w:bidi="en-GB"/>
        </w:rPr>
        <w:t>classified as</w:t>
      </w:r>
      <w:r w:rsidR="00873B65" w:rsidRPr="008B5441">
        <w:rPr>
          <w:rFonts w:ascii="Calibri" w:hAnsi="Calibri" w:cs="Calibri"/>
          <w:lang w:bidi="en-GB"/>
        </w:rPr>
        <w:t xml:space="preserve"> </w:t>
      </w:r>
      <w:r w:rsidR="00305663" w:rsidRPr="008B5441">
        <w:rPr>
          <w:rFonts w:ascii="Calibri" w:hAnsi="Calibri" w:cs="Calibri"/>
          <w:lang w:bidi="en-GB"/>
        </w:rPr>
        <w:t>a strategic</w:t>
      </w:r>
      <w:r w:rsidR="008C0390" w:rsidRPr="008B5441">
        <w:rPr>
          <w:rFonts w:ascii="Calibri" w:hAnsi="Calibri" w:cs="Calibri"/>
          <w:lang w:bidi="en-GB"/>
        </w:rPr>
        <w:t xml:space="preserve"> risk where </w:t>
      </w:r>
      <w:r w:rsidR="00122238" w:rsidRPr="008B5441">
        <w:rPr>
          <w:rFonts w:ascii="Calibri" w:hAnsi="Calibri" w:cs="Calibri"/>
          <w:lang w:bidi="en-GB"/>
        </w:rPr>
        <w:t xml:space="preserve">the </w:t>
      </w:r>
      <w:r w:rsidR="004753AD" w:rsidRPr="008B5441">
        <w:rPr>
          <w:rFonts w:ascii="Calibri" w:hAnsi="Calibri" w:cs="Calibri"/>
          <w:lang w:bidi="en-GB"/>
        </w:rPr>
        <w:t xml:space="preserve">severity of </w:t>
      </w:r>
      <w:r w:rsidR="00B3101A" w:rsidRPr="008B5441">
        <w:rPr>
          <w:rFonts w:ascii="Calibri" w:hAnsi="Calibri" w:cs="Calibri"/>
          <w:lang w:bidi="en-GB"/>
        </w:rPr>
        <w:t xml:space="preserve">its </w:t>
      </w:r>
      <w:r w:rsidR="00EB7CCD" w:rsidRPr="008B5441">
        <w:rPr>
          <w:rFonts w:ascii="Calibri" w:hAnsi="Calibri" w:cs="Calibri"/>
          <w:lang w:bidi="en-GB"/>
        </w:rPr>
        <w:t xml:space="preserve">impact </w:t>
      </w:r>
      <w:r w:rsidR="00271242" w:rsidRPr="008B5441">
        <w:rPr>
          <w:rFonts w:ascii="Calibri" w:hAnsi="Calibri" w:cs="Calibri"/>
          <w:lang w:bidi="en-GB"/>
        </w:rPr>
        <w:t xml:space="preserve">may </w:t>
      </w:r>
      <w:proofErr w:type="spellStart"/>
      <w:proofErr w:type="gramStart"/>
      <w:r w:rsidR="000973B7" w:rsidRPr="008B5441">
        <w:rPr>
          <w:rFonts w:ascii="Calibri" w:hAnsi="Calibri" w:cs="Calibri"/>
          <w:lang w:bidi="en-GB"/>
        </w:rPr>
        <w:t>effect</w:t>
      </w:r>
      <w:proofErr w:type="spellEnd"/>
      <w:proofErr w:type="gramEnd"/>
      <w:r w:rsidR="000973B7" w:rsidRPr="008B5441">
        <w:rPr>
          <w:rFonts w:ascii="Calibri" w:hAnsi="Calibri" w:cs="Calibri"/>
          <w:lang w:bidi="en-GB"/>
        </w:rPr>
        <w:t xml:space="preserve"> the University’s ability to achieve its strategic objectives or have an impact on the University as a whole.</w:t>
      </w:r>
    </w:p>
    <w:p w14:paraId="14549D29" w14:textId="77777777" w:rsidR="00C049B0" w:rsidRDefault="00C049B0" w:rsidP="004B2DD9">
      <w:pPr>
        <w:spacing w:after="0"/>
        <w:rPr>
          <w:rFonts w:ascii="Calibri" w:hAnsi="Calibri" w:cs="Calibri"/>
          <w:b/>
          <w:bCs/>
        </w:rPr>
      </w:pPr>
    </w:p>
    <w:p w14:paraId="3DEA4C37" w14:textId="46AF877D" w:rsidR="00C250AC" w:rsidRDefault="00144C46" w:rsidP="004B2DD9">
      <w:pPr>
        <w:spacing w:after="0"/>
        <w:rPr>
          <w:rFonts w:ascii="Calibri" w:hAnsi="Calibri" w:cs="Calibri"/>
          <w:b/>
          <w:bCs/>
        </w:rPr>
      </w:pPr>
      <w:r>
        <w:rPr>
          <w:rFonts w:ascii="Calibri" w:hAnsi="Calibri" w:cs="Calibri"/>
          <w:b/>
          <w:bCs/>
        </w:rPr>
        <w:t xml:space="preserve">Roles and </w:t>
      </w:r>
      <w:r w:rsidR="00C250AC" w:rsidRPr="00C250AC">
        <w:rPr>
          <w:rFonts w:ascii="Calibri" w:hAnsi="Calibri" w:cs="Calibri"/>
          <w:b/>
          <w:bCs/>
        </w:rPr>
        <w:t>Responsibilities</w:t>
      </w:r>
    </w:p>
    <w:p w14:paraId="5A823524" w14:textId="2D2C0101" w:rsidR="004C5327" w:rsidRDefault="004C5327" w:rsidP="004B2DD9">
      <w:pPr>
        <w:spacing w:after="0"/>
        <w:rPr>
          <w:rFonts w:ascii="Calibri" w:hAnsi="Calibri" w:cs="Calibri"/>
        </w:rPr>
      </w:pPr>
      <w:r w:rsidRPr="004C5327">
        <w:rPr>
          <w:rFonts w:ascii="Calibri" w:hAnsi="Calibri" w:cs="Calibri"/>
        </w:rPr>
        <w:t xml:space="preserve">The key </w:t>
      </w:r>
      <w:r w:rsidR="00663F9C">
        <w:rPr>
          <w:rFonts w:ascii="Calibri" w:hAnsi="Calibri" w:cs="Calibri"/>
        </w:rPr>
        <w:t xml:space="preserve">roles and </w:t>
      </w:r>
      <w:r w:rsidRPr="004C5327">
        <w:rPr>
          <w:rFonts w:ascii="Calibri" w:hAnsi="Calibri" w:cs="Calibri"/>
        </w:rPr>
        <w:t>responsibilities are outlined below:</w:t>
      </w:r>
    </w:p>
    <w:p w14:paraId="7CC5053D" w14:textId="6971C722" w:rsidR="00CD2C70" w:rsidRPr="00CD2C70" w:rsidRDefault="00CD2C70" w:rsidP="004B2DD9">
      <w:pPr>
        <w:spacing w:after="0"/>
        <w:rPr>
          <w:rFonts w:ascii="Calibri" w:hAnsi="Calibri" w:cs="Calibri"/>
          <w:b/>
          <w:bCs/>
        </w:rPr>
      </w:pPr>
      <w:r w:rsidRPr="00CD2C70">
        <w:rPr>
          <w:rFonts w:ascii="Calibri" w:hAnsi="Calibri" w:cs="Calibri"/>
          <w:b/>
          <w:bCs/>
        </w:rPr>
        <w:t>University Court</w:t>
      </w:r>
    </w:p>
    <w:p w14:paraId="25057F15" w14:textId="743E3959" w:rsidR="00FD00B7" w:rsidRDefault="000978E9" w:rsidP="00F00536">
      <w:pPr>
        <w:pStyle w:val="ListParagraph"/>
        <w:numPr>
          <w:ilvl w:val="0"/>
          <w:numId w:val="8"/>
        </w:numPr>
        <w:jc w:val="both"/>
        <w:rPr>
          <w:rFonts w:ascii="Calibri" w:hAnsi="Calibri" w:cs="Calibri"/>
        </w:rPr>
      </w:pPr>
      <w:r>
        <w:rPr>
          <w:rFonts w:ascii="Calibri" w:hAnsi="Calibri" w:cs="Calibri"/>
        </w:rPr>
        <w:t>University Court</w:t>
      </w:r>
      <w:r w:rsidR="00630165">
        <w:rPr>
          <w:rFonts w:ascii="Calibri" w:hAnsi="Calibri" w:cs="Calibri"/>
        </w:rPr>
        <w:t xml:space="preserve"> approves </w:t>
      </w:r>
      <w:r w:rsidR="00403444">
        <w:rPr>
          <w:rFonts w:ascii="Calibri" w:hAnsi="Calibri" w:cs="Calibri"/>
        </w:rPr>
        <w:t xml:space="preserve">the </w:t>
      </w:r>
      <w:r w:rsidR="00DA7A11" w:rsidRPr="00403444">
        <w:rPr>
          <w:rFonts w:ascii="Calibri" w:hAnsi="Calibri" w:cs="Calibri"/>
        </w:rPr>
        <w:t>strategic objectives and</w:t>
      </w:r>
      <w:r w:rsidR="00DA7A11">
        <w:rPr>
          <w:rFonts w:ascii="Calibri" w:hAnsi="Calibri" w:cs="Calibri"/>
        </w:rPr>
        <w:t xml:space="preserve"> </w:t>
      </w:r>
      <w:r w:rsidR="007C0239">
        <w:rPr>
          <w:rFonts w:ascii="Calibri" w:hAnsi="Calibri" w:cs="Calibri"/>
        </w:rPr>
        <w:t xml:space="preserve">major </w:t>
      </w:r>
      <w:r w:rsidR="00630165">
        <w:rPr>
          <w:rFonts w:ascii="Calibri" w:hAnsi="Calibri" w:cs="Calibri"/>
        </w:rPr>
        <w:t>policies</w:t>
      </w:r>
      <w:r w:rsidR="007C0239">
        <w:rPr>
          <w:rFonts w:ascii="Calibri" w:hAnsi="Calibri" w:cs="Calibri"/>
        </w:rPr>
        <w:t xml:space="preserve"> </w:t>
      </w:r>
      <w:r w:rsidR="00A05C08">
        <w:rPr>
          <w:rFonts w:ascii="Calibri" w:hAnsi="Calibri" w:cs="Calibri"/>
        </w:rPr>
        <w:t xml:space="preserve">required to comply with statutory requirements and </w:t>
      </w:r>
      <w:r w:rsidR="00BC24BE">
        <w:rPr>
          <w:rFonts w:ascii="Calibri" w:hAnsi="Calibri" w:cs="Calibri"/>
        </w:rPr>
        <w:t xml:space="preserve">is accountable for </w:t>
      </w:r>
      <w:r w:rsidR="00C83866">
        <w:rPr>
          <w:rFonts w:ascii="Calibri" w:hAnsi="Calibri" w:cs="Calibri"/>
        </w:rPr>
        <w:t>ensuring</w:t>
      </w:r>
      <w:r w:rsidR="00BC24BE">
        <w:rPr>
          <w:rFonts w:ascii="Calibri" w:hAnsi="Calibri" w:cs="Calibri"/>
        </w:rPr>
        <w:t xml:space="preserve"> </w:t>
      </w:r>
      <w:r w:rsidR="008D163F">
        <w:rPr>
          <w:rFonts w:ascii="Calibri" w:hAnsi="Calibri" w:cs="Calibri"/>
        </w:rPr>
        <w:t xml:space="preserve">the University’s </w:t>
      </w:r>
      <w:r w:rsidR="00C83866">
        <w:rPr>
          <w:rFonts w:ascii="Calibri" w:hAnsi="Calibri" w:cs="Calibri"/>
        </w:rPr>
        <w:t>control</w:t>
      </w:r>
      <w:r w:rsidR="008D163F">
        <w:rPr>
          <w:rFonts w:ascii="Calibri" w:hAnsi="Calibri" w:cs="Calibri"/>
        </w:rPr>
        <w:t xml:space="preserve"> framework and assessment of risk </w:t>
      </w:r>
      <w:r w:rsidR="00C83866">
        <w:rPr>
          <w:rFonts w:ascii="Calibri" w:hAnsi="Calibri" w:cs="Calibri"/>
        </w:rPr>
        <w:t xml:space="preserve">is effective. </w:t>
      </w:r>
      <w:r w:rsidR="00B07498">
        <w:rPr>
          <w:rFonts w:ascii="Calibri" w:hAnsi="Calibri" w:cs="Calibri"/>
        </w:rPr>
        <w:t xml:space="preserve"> </w:t>
      </w:r>
    </w:p>
    <w:p w14:paraId="10E2F86E" w14:textId="15862725" w:rsidR="00023DC7" w:rsidRDefault="00023DC7" w:rsidP="00F00536">
      <w:pPr>
        <w:pStyle w:val="ListParagraph"/>
        <w:numPr>
          <w:ilvl w:val="0"/>
          <w:numId w:val="8"/>
        </w:numPr>
        <w:jc w:val="both"/>
        <w:rPr>
          <w:rFonts w:ascii="Calibri" w:hAnsi="Calibri" w:cs="Calibri"/>
        </w:rPr>
      </w:pPr>
      <w:r>
        <w:rPr>
          <w:rFonts w:ascii="Calibri" w:hAnsi="Calibri" w:cs="Calibri"/>
        </w:rPr>
        <w:t>University Court wil</w:t>
      </w:r>
      <w:r w:rsidR="00272C88">
        <w:rPr>
          <w:rFonts w:ascii="Calibri" w:hAnsi="Calibri" w:cs="Calibri"/>
        </w:rPr>
        <w:t xml:space="preserve">l determine </w:t>
      </w:r>
      <w:r w:rsidR="008677F7">
        <w:rPr>
          <w:rFonts w:ascii="Calibri" w:hAnsi="Calibri" w:cs="Calibri"/>
        </w:rPr>
        <w:t xml:space="preserve">the risk appetite of the </w:t>
      </w:r>
      <w:r w:rsidR="00575D5C">
        <w:rPr>
          <w:rFonts w:ascii="Calibri" w:hAnsi="Calibri" w:cs="Calibri"/>
        </w:rPr>
        <w:t>University</w:t>
      </w:r>
      <w:r w:rsidR="008677F7">
        <w:rPr>
          <w:rFonts w:ascii="Calibri" w:hAnsi="Calibri" w:cs="Calibri"/>
        </w:rPr>
        <w:t xml:space="preserve"> as a whole </w:t>
      </w:r>
      <w:r w:rsidR="00774F3D">
        <w:rPr>
          <w:rFonts w:ascii="Calibri" w:hAnsi="Calibri" w:cs="Calibri"/>
        </w:rPr>
        <w:t xml:space="preserve">and will </w:t>
      </w:r>
      <w:r w:rsidR="009E47EE">
        <w:rPr>
          <w:rFonts w:ascii="Calibri" w:hAnsi="Calibri" w:cs="Calibri"/>
        </w:rPr>
        <w:t xml:space="preserve">review the risk appetite </w:t>
      </w:r>
      <w:r w:rsidR="00330D1B">
        <w:rPr>
          <w:rFonts w:ascii="Calibri" w:hAnsi="Calibri" w:cs="Calibri"/>
        </w:rPr>
        <w:t>periodically</w:t>
      </w:r>
      <w:r w:rsidR="009E47EE">
        <w:rPr>
          <w:rFonts w:ascii="Calibri" w:hAnsi="Calibri" w:cs="Calibri"/>
        </w:rPr>
        <w:t xml:space="preserve"> (at least annually) </w:t>
      </w:r>
      <w:r w:rsidR="00031896">
        <w:rPr>
          <w:rFonts w:ascii="Calibri" w:hAnsi="Calibri" w:cs="Calibri"/>
        </w:rPr>
        <w:t xml:space="preserve">to ensure alignment with </w:t>
      </w:r>
      <w:r w:rsidR="00C354E1">
        <w:rPr>
          <w:rFonts w:ascii="Calibri" w:hAnsi="Calibri" w:cs="Calibri"/>
        </w:rPr>
        <w:t xml:space="preserve">objectives, the operating environment and emerging risks. </w:t>
      </w:r>
      <w:r w:rsidR="009A703C">
        <w:rPr>
          <w:rFonts w:ascii="Calibri" w:hAnsi="Calibri" w:cs="Calibri"/>
        </w:rPr>
        <w:t xml:space="preserve"> </w:t>
      </w:r>
      <w:r w:rsidR="00D57BFF">
        <w:rPr>
          <w:rFonts w:ascii="Calibri" w:hAnsi="Calibri" w:cs="Calibri"/>
        </w:rPr>
        <w:t xml:space="preserve"> </w:t>
      </w:r>
    </w:p>
    <w:p w14:paraId="5CC1DB92" w14:textId="633708DD" w:rsidR="000978E9" w:rsidRDefault="00B07498" w:rsidP="00F00536">
      <w:pPr>
        <w:pStyle w:val="ListParagraph"/>
        <w:numPr>
          <w:ilvl w:val="0"/>
          <w:numId w:val="8"/>
        </w:numPr>
        <w:jc w:val="both"/>
        <w:rPr>
          <w:rFonts w:ascii="Calibri" w:hAnsi="Calibri" w:cs="Calibri"/>
        </w:rPr>
      </w:pPr>
      <w:r>
        <w:rPr>
          <w:rFonts w:ascii="Calibri" w:hAnsi="Calibri" w:cs="Calibri"/>
        </w:rPr>
        <w:t xml:space="preserve">University Court </w:t>
      </w:r>
      <w:r w:rsidR="00EC1ECD" w:rsidRPr="00320EAF">
        <w:rPr>
          <w:rFonts w:ascii="Calibri" w:hAnsi="Calibri" w:cs="Calibri"/>
        </w:rPr>
        <w:t xml:space="preserve">has delegated responsibility for the oversight of </w:t>
      </w:r>
      <w:r w:rsidR="7225626B" w:rsidRPr="002F2EF9">
        <w:rPr>
          <w:rFonts w:ascii="Calibri" w:hAnsi="Calibri" w:cs="Calibri"/>
        </w:rPr>
        <w:t>strategic</w:t>
      </w:r>
      <w:r w:rsidR="7225626B" w:rsidRPr="1F3BB18C">
        <w:rPr>
          <w:rFonts w:ascii="Calibri" w:hAnsi="Calibri" w:cs="Calibri"/>
        </w:rPr>
        <w:t xml:space="preserve"> </w:t>
      </w:r>
      <w:r w:rsidR="00EC1ECD" w:rsidRPr="00320EAF">
        <w:rPr>
          <w:rFonts w:ascii="Calibri" w:hAnsi="Calibri" w:cs="Calibri"/>
        </w:rPr>
        <w:t xml:space="preserve">risk management </w:t>
      </w:r>
      <w:r w:rsidR="00B54A22">
        <w:rPr>
          <w:rFonts w:ascii="Calibri" w:hAnsi="Calibri" w:cs="Calibri"/>
        </w:rPr>
        <w:t xml:space="preserve">arrangements </w:t>
      </w:r>
      <w:r w:rsidR="00EC1ECD" w:rsidRPr="00320EAF">
        <w:rPr>
          <w:rFonts w:ascii="Calibri" w:hAnsi="Calibri" w:cs="Calibri"/>
        </w:rPr>
        <w:t>to the Audit Committee</w:t>
      </w:r>
      <w:r w:rsidR="00320EAF" w:rsidRPr="00320EAF">
        <w:rPr>
          <w:rFonts w:ascii="Calibri" w:hAnsi="Calibri" w:cs="Calibri"/>
        </w:rPr>
        <w:t>.</w:t>
      </w:r>
    </w:p>
    <w:p w14:paraId="636E114A" w14:textId="63B12777" w:rsidR="00CD2C70" w:rsidRPr="00CD2C70" w:rsidRDefault="00CD2C70" w:rsidP="00CD2C70">
      <w:pPr>
        <w:spacing w:after="0"/>
        <w:jc w:val="both"/>
        <w:rPr>
          <w:rFonts w:ascii="Calibri" w:hAnsi="Calibri" w:cs="Calibri"/>
          <w:b/>
          <w:bCs/>
        </w:rPr>
      </w:pPr>
      <w:r w:rsidRPr="00CD2C70">
        <w:rPr>
          <w:rFonts w:ascii="Calibri" w:hAnsi="Calibri" w:cs="Calibri"/>
          <w:b/>
          <w:bCs/>
        </w:rPr>
        <w:t xml:space="preserve">Audit Committee </w:t>
      </w:r>
    </w:p>
    <w:p w14:paraId="63EE3D93" w14:textId="7363F52E" w:rsidR="007B2F44" w:rsidRDefault="007B2F44" w:rsidP="00F00536">
      <w:pPr>
        <w:pStyle w:val="ListParagraph"/>
        <w:numPr>
          <w:ilvl w:val="0"/>
          <w:numId w:val="8"/>
        </w:numPr>
        <w:jc w:val="both"/>
        <w:rPr>
          <w:rFonts w:ascii="Calibri" w:hAnsi="Calibri" w:cs="Calibri"/>
        </w:rPr>
      </w:pPr>
      <w:r>
        <w:rPr>
          <w:rFonts w:ascii="Calibri" w:hAnsi="Calibri" w:cs="Calibri"/>
        </w:rPr>
        <w:t xml:space="preserve">Audit Committee </w:t>
      </w:r>
      <w:r w:rsidR="006A777E">
        <w:rPr>
          <w:rFonts w:ascii="Calibri" w:hAnsi="Calibri" w:cs="Calibri"/>
        </w:rPr>
        <w:t>will keep under review the University’s approach to</w:t>
      </w:r>
      <w:r w:rsidR="007B3245">
        <w:rPr>
          <w:rFonts w:ascii="Calibri" w:hAnsi="Calibri" w:cs="Calibri"/>
        </w:rPr>
        <w:t xml:space="preserve">, and policies on risk management, regularly </w:t>
      </w:r>
      <w:r w:rsidR="000978E9">
        <w:rPr>
          <w:rFonts w:ascii="Calibri" w:hAnsi="Calibri" w:cs="Calibri"/>
        </w:rPr>
        <w:t>considering</w:t>
      </w:r>
      <w:r w:rsidR="007B3245">
        <w:rPr>
          <w:rFonts w:ascii="Calibri" w:hAnsi="Calibri" w:cs="Calibri"/>
        </w:rPr>
        <w:t xml:space="preserve"> the effectiveness </w:t>
      </w:r>
      <w:r w:rsidR="000978E9">
        <w:rPr>
          <w:rFonts w:ascii="Calibri" w:hAnsi="Calibri" w:cs="Calibri"/>
        </w:rPr>
        <w:t xml:space="preserve">of the University’s control framework and the assessment of risk. </w:t>
      </w:r>
    </w:p>
    <w:p w14:paraId="7A654CC9" w14:textId="77777777" w:rsidR="00CD2C70" w:rsidRDefault="00C1171D" w:rsidP="00F00536">
      <w:pPr>
        <w:pStyle w:val="ListParagraph"/>
        <w:numPr>
          <w:ilvl w:val="0"/>
          <w:numId w:val="8"/>
        </w:numPr>
        <w:jc w:val="both"/>
        <w:rPr>
          <w:rFonts w:ascii="Calibri" w:hAnsi="Calibri" w:cs="Calibri"/>
        </w:rPr>
      </w:pPr>
      <w:r>
        <w:rPr>
          <w:rFonts w:ascii="Calibri" w:hAnsi="Calibri" w:cs="Calibri"/>
        </w:rPr>
        <w:t xml:space="preserve">Audit Committee will </w:t>
      </w:r>
      <w:r w:rsidR="00364475">
        <w:rPr>
          <w:rFonts w:ascii="Calibri" w:hAnsi="Calibri" w:cs="Calibri"/>
        </w:rPr>
        <w:t xml:space="preserve">report to Court </w:t>
      </w:r>
      <w:r w:rsidR="00B2157C">
        <w:rPr>
          <w:rFonts w:ascii="Calibri" w:hAnsi="Calibri" w:cs="Calibri"/>
        </w:rPr>
        <w:t xml:space="preserve">(at least annually) </w:t>
      </w:r>
      <w:r w:rsidR="00ED2DC2">
        <w:rPr>
          <w:rFonts w:ascii="Calibri" w:hAnsi="Calibri" w:cs="Calibri"/>
        </w:rPr>
        <w:t xml:space="preserve">its opinion on the </w:t>
      </w:r>
      <w:r w:rsidR="00B2157C">
        <w:rPr>
          <w:rFonts w:ascii="Calibri" w:hAnsi="Calibri" w:cs="Calibri"/>
        </w:rPr>
        <w:t xml:space="preserve">effectiveness </w:t>
      </w:r>
      <w:r w:rsidR="00ED2DC2">
        <w:rPr>
          <w:rFonts w:ascii="Calibri" w:hAnsi="Calibri" w:cs="Calibri"/>
        </w:rPr>
        <w:t xml:space="preserve">and adequacy of </w:t>
      </w:r>
      <w:r w:rsidR="006013F6">
        <w:rPr>
          <w:rFonts w:ascii="Calibri" w:hAnsi="Calibri" w:cs="Calibri"/>
        </w:rPr>
        <w:t xml:space="preserve">governance arrangements </w:t>
      </w:r>
      <w:r w:rsidR="00CD5F70">
        <w:rPr>
          <w:rFonts w:ascii="Calibri" w:hAnsi="Calibri" w:cs="Calibri"/>
        </w:rPr>
        <w:t xml:space="preserve">including risk management </w:t>
      </w:r>
      <w:r w:rsidR="006244E5">
        <w:rPr>
          <w:rFonts w:ascii="Calibri" w:hAnsi="Calibri" w:cs="Calibri"/>
        </w:rPr>
        <w:t xml:space="preserve">arrangements and </w:t>
      </w:r>
      <w:r w:rsidR="00CD5F70">
        <w:rPr>
          <w:rFonts w:ascii="Calibri" w:hAnsi="Calibri" w:cs="Calibri"/>
        </w:rPr>
        <w:t>control.</w:t>
      </w:r>
    </w:p>
    <w:p w14:paraId="485F3C4D" w14:textId="184E54FA" w:rsidR="00C1171D" w:rsidRPr="00CD2C70" w:rsidRDefault="00CD2C70" w:rsidP="00CD2C70">
      <w:pPr>
        <w:spacing w:after="0"/>
        <w:jc w:val="both"/>
        <w:rPr>
          <w:rFonts w:ascii="Calibri" w:hAnsi="Calibri" w:cs="Calibri"/>
          <w:b/>
          <w:bCs/>
        </w:rPr>
      </w:pPr>
      <w:r w:rsidRPr="00CD2C70">
        <w:rPr>
          <w:rFonts w:ascii="Calibri" w:hAnsi="Calibri" w:cs="Calibri"/>
          <w:b/>
          <w:bCs/>
        </w:rPr>
        <w:t xml:space="preserve">University Strategy and Policy Group (USPG) </w:t>
      </w:r>
      <w:r w:rsidR="00B2157C" w:rsidRPr="00CD2C70">
        <w:rPr>
          <w:rFonts w:ascii="Calibri" w:hAnsi="Calibri" w:cs="Calibri"/>
          <w:b/>
          <w:bCs/>
        </w:rPr>
        <w:t xml:space="preserve"> </w:t>
      </w:r>
    </w:p>
    <w:p w14:paraId="5CB85AA3" w14:textId="16BEC7DC" w:rsidR="001E32E2" w:rsidRDefault="00016D2B" w:rsidP="00F00536">
      <w:pPr>
        <w:pStyle w:val="ListParagraph"/>
        <w:numPr>
          <w:ilvl w:val="0"/>
          <w:numId w:val="10"/>
        </w:numPr>
        <w:jc w:val="both"/>
        <w:rPr>
          <w:rFonts w:ascii="Calibri" w:hAnsi="Calibri" w:cs="Calibri"/>
        </w:rPr>
      </w:pPr>
      <w:r w:rsidRPr="00016D2B">
        <w:rPr>
          <w:rFonts w:ascii="Calibri" w:hAnsi="Calibri" w:cs="Calibri"/>
        </w:rPr>
        <w:t>U</w:t>
      </w:r>
      <w:r w:rsidR="006D11DD" w:rsidRPr="00016D2B">
        <w:rPr>
          <w:rFonts w:ascii="Calibri" w:hAnsi="Calibri" w:cs="Calibri"/>
        </w:rPr>
        <w:t xml:space="preserve">SPG </w:t>
      </w:r>
      <w:r w:rsidR="00C250AC" w:rsidRPr="00016D2B">
        <w:rPr>
          <w:rFonts w:ascii="Calibri" w:hAnsi="Calibri" w:cs="Calibri"/>
        </w:rPr>
        <w:t>has p</w:t>
      </w:r>
      <w:r w:rsidR="00C250AC" w:rsidRPr="008E400B">
        <w:rPr>
          <w:rFonts w:ascii="Calibri" w:hAnsi="Calibri" w:cs="Calibri"/>
        </w:rPr>
        <w:t xml:space="preserve">rime responsibility for </w:t>
      </w:r>
      <w:r w:rsidR="00411A29" w:rsidRPr="008E400B">
        <w:rPr>
          <w:rFonts w:ascii="Calibri" w:hAnsi="Calibri" w:cs="Calibri"/>
        </w:rPr>
        <w:t xml:space="preserve">ensuring </w:t>
      </w:r>
      <w:r w:rsidR="0048791A" w:rsidRPr="008E400B">
        <w:rPr>
          <w:rFonts w:ascii="Calibri" w:hAnsi="Calibri" w:cs="Calibri"/>
        </w:rPr>
        <w:t>a culture of effective risk management i</w:t>
      </w:r>
      <w:r w:rsidR="008E400B" w:rsidRPr="008E400B">
        <w:rPr>
          <w:rFonts w:ascii="Calibri" w:hAnsi="Calibri" w:cs="Calibri"/>
        </w:rPr>
        <w:t>s</w:t>
      </w:r>
      <w:r w:rsidR="0048791A" w:rsidRPr="008E400B">
        <w:rPr>
          <w:rFonts w:ascii="Calibri" w:hAnsi="Calibri" w:cs="Calibri"/>
        </w:rPr>
        <w:t xml:space="preserve"> </w:t>
      </w:r>
      <w:r w:rsidR="00720803">
        <w:rPr>
          <w:rFonts w:ascii="Calibri" w:hAnsi="Calibri" w:cs="Calibri"/>
        </w:rPr>
        <w:t xml:space="preserve">supported and </w:t>
      </w:r>
      <w:r w:rsidR="008E400B" w:rsidRPr="008E400B">
        <w:rPr>
          <w:rFonts w:ascii="Calibri" w:hAnsi="Calibri" w:cs="Calibri"/>
        </w:rPr>
        <w:t>sustained</w:t>
      </w:r>
      <w:r w:rsidR="0002185D">
        <w:rPr>
          <w:rFonts w:ascii="Calibri" w:hAnsi="Calibri" w:cs="Calibri"/>
        </w:rPr>
        <w:t>.</w:t>
      </w:r>
      <w:r w:rsidR="0048791A" w:rsidRPr="008E400B">
        <w:rPr>
          <w:rFonts w:ascii="Calibri" w:hAnsi="Calibri" w:cs="Calibri"/>
        </w:rPr>
        <w:t xml:space="preserve"> </w:t>
      </w:r>
    </w:p>
    <w:p w14:paraId="22C33998" w14:textId="7D795377" w:rsidR="00E4154F" w:rsidRDefault="00F464BD" w:rsidP="00F00536">
      <w:pPr>
        <w:pStyle w:val="ListParagraph"/>
        <w:numPr>
          <w:ilvl w:val="0"/>
          <w:numId w:val="10"/>
        </w:numPr>
        <w:jc w:val="both"/>
        <w:rPr>
          <w:rFonts w:ascii="Calibri" w:hAnsi="Calibri" w:cs="Calibri"/>
        </w:rPr>
      </w:pPr>
      <w:r w:rsidRPr="00B8744F">
        <w:rPr>
          <w:rFonts w:ascii="Calibri" w:hAnsi="Calibri" w:cs="Calibri"/>
        </w:rPr>
        <w:t xml:space="preserve">USPG </w:t>
      </w:r>
      <w:r w:rsidR="001F1AB5" w:rsidRPr="00B8744F">
        <w:rPr>
          <w:rFonts w:ascii="Calibri" w:hAnsi="Calibri" w:cs="Calibri"/>
        </w:rPr>
        <w:t xml:space="preserve">will </w:t>
      </w:r>
      <w:r w:rsidR="001A5871" w:rsidRPr="00B8744F">
        <w:rPr>
          <w:rFonts w:ascii="Calibri" w:hAnsi="Calibri" w:cs="Calibri"/>
        </w:rPr>
        <w:t xml:space="preserve">identify and </w:t>
      </w:r>
      <w:r w:rsidR="001F1AB5" w:rsidRPr="00B8744F">
        <w:rPr>
          <w:rFonts w:ascii="Calibri" w:hAnsi="Calibri" w:cs="Calibri"/>
        </w:rPr>
        <w:t xml:space="preserve">periodically </w:t>
      </w:r>
      <w:r w:rsidR="00A50D0E" w:rsidRPr="00B8744F">
        <w:rPr>
          <w:rFonts w:ascii="Calibri" w:hAnsi="Calibri" w:cs="Calibri"/>
        </w:rPr>
        <w:t xml:space="preserve">evaluate </w:t>
      </w:r>
      <w:r w:rsidR="001F1AB5" w:rsidRPr="00B8744F">
        <w:rPr>
          <w:rFonts w:ascii="Calibri" w:hAnsi="Calibri" w:cs="Calibri"/>
        </w:rPr>
        <w:t xml:space="preserve">(at least </w:t>
      </w:r>
      <w:r w:rsidR="00AB3595" w:rsidRPr="00B8744F">
        <w:rPr>
          <w:rFonts w:ascii="Calibri" w:hAnsi="Calibri" w:cs="Calibri"/>
        </w:rPr>
        <w:t>three times per academic year)</w:t>
      </w:r>
      <w:r w:rsidR="00E9136C" w:rsidRPr="00B8744F">
        <w:rPr>
          <w:rFonts w:ascii="Calibri" w:hAnsi="Calibri" w:cs="Calibri"/>
        </w:rPr>
        <w:t xml:space="preserve"> t</w:t>
      </w:r>
      <w:r w:rsidR="00612ABB" w:rsidRPr="00B8744F">
        <w:rPr>
          <w:rFonts w:ascii="Calibri" w:hAnsi="Calibri" w:cs="Calibri"/>
        </w:rPr>
        <w:t xml:space="preserve">he </w:t>
      </w:r>
      <w:r w:rsidR="00904E7D" w:rsidRPr="00B8744F">
        <w:rPr>
          <w:rFonts w:ascii="Calibri" w:hAnsi="Calibri" w:cs="Calibri"/>
        </w:rPr>
        <w:t xml:space="preserve">significant </w:t>
      </w:r>
      <w:r w:rsidR="00D1219F" w:rsidRPr="00B8744F">
        <w:rPr>
          <w:rFonts w:ascii="Calibri" w:hAnsi="Calibri" w:cs="Calibri"/>
        </w:rPr>
        <w:t>risks faced by the University</w:t>
      </w:r>
      <w:r w:rsidR="00EE2002" w:rsidRPr="00B8744F">
        <w:rPr>
          <w:rFonts w:ascii="Calibri" w:hAnsi="Calibri" w:cs="Calibri"/>
        </w:rPr>
        <w:t xml:space="preserve"> </w:t>
      </w:r>
      <w:r w:rsidR="00D1219F" w:rsidRPr="00B8744F">
        <w:rPr>
          <w:rFonts w:ascii="Calibri" w:hAnsi="Calibri" w:cs="Calibri"/>
        </w:rPr>
        <w:t xml:space="preserve">for </w:t>
      </w:r>
      <w:r w:rsidR="00651F8B" w:rsidRPr="00B8744F">
        <w:rPr>
          <w:rFonts w:ascii="Calibri" w:hAnsi="Calibri" w:cs="Calibri"/>
        </w:rPr>
        <w:t xml:space="preserve">review </w:t>
      </w:r>
      <w:r w:rsidR="0045126D" w:rsidRPr="00B8744F">
        <w:rPr>
          <w:rFonts w:ascii="Calibri" w:hAnsi="Calibri" w:cs="Calibri"/>
        </w:rPr>
        <w:t>b</w:t>
      </w:r>
      <w:r w:rsidR="00D1219F" w:rsidRPr="00B8744F">
        <w:rPr>
          <w:rFonts w:ascii="Calibri" w:hAnsi="Calibri" w:cs="Calibri"/>
        </w:rPr>
        <w:t>y Audit Committee and Court.</w:t>
      </w:r>
      <w:r w:rsidR="004F4D26" w:rsidRPr="00B8744F">
        <w:rPr>
          <w:rFonts w:ascii="Calibri" w:hAnsi="Calibri" w:cs="Calibri"/>
        </w:rPr>
        <w:t xml:space="preserve">  </w:t>
      </w:r>
    </w:p>
    <w:p w14:paraId="4C9E5AD5" w14:textId="67272F5B" w:rsidR="00661895" w:rsidRPr="00661895" w:rsidRDefault="00661895" w:rsidP="00661895">
      <w:pPr>
        <w:spacing w:after="0"/>
        <w:jc w:val="both"/>
        <w:rPr>
          <w:rFonts w:ascii="Calibri" w:hAnsi="Calibri" w:cs="Calibri"/>
          <w:b/>
          <w:bCs/>
        </w:rPr>
      </w:pPr>
      <w:r w:rsidRPr="00661895">
        <w:rPr>
          <w:rFonts w:ascii="Calibri" w:hAnsi="Calibri" w:cs="Calibri"/>
          <w:b/>
          <w:bCs/>
        </w:rPr>
        <w:t xml:space="preserve">University Community </w:t>
      </w:r>
    </w:p>
    <w:p w14:paraId="0B13D18F" w14:textId="77777777" w:rsidR="00171502" w:rsidRDefault="00171502" w:rsidP="00F00536">
      <w:pPr>
        <w:pStyle w:val="ListParagraph"/>
        <w:numPr>
          <w:ilvl w:val="0"/>
          <w:numId w:val="10"/>
        </w:numPr>
        <w:jc w:val="both"/>
        <w:rPr>
          <w:rFonts w:ascii="Calibri" w:hAnsi="Calibri" w:cs="Calibri"/>
        </w:rPr>
      </w:pPr>
      <w:r w:rsidRPr="00171502">
        <w:rPr>
          <w:rFonts w:ascii="Calibri" w:hAnsi="Calibri" w:cs="Calibri"/>
        </w:rPr>
        <w:t xml:space="preserve">Ownership of the Risk Management Policy and reporting is delegated to the Deputy Secretary and Executive Director of Student, Academic and Corporate Services to ensure the managing processes are robust and demonstrate assurance to the Audit Committee. </w:t>
      </w:r>
    </w:p>
    <w:p w14:paraId="5FEE4840" w14:textId="77777777" w:rsidR="00DF6024" w:rsidRDefault="00BD7129" w:rsidP="00F00536">
      <w:pPr>
        <w:pStyle w:val="ListParagraph"/>
        <w:numPr>
          <w:ilvl w:val="0"/>
          <w:numId w:val="10"/>
        </w:numPr>
        <w:jc w:val="both"/>
        <w:rPr>
          <w:rFonts w:ascii="Calibri" w:hAnsi="Calibri" w:cs="Calibri"/>
        </w:rPr>
      </w:pPr>
      <w:r w:rsidRPr="00B8744F">
        <w:rPr>
          <w:rFonts w:ascii="Calibri" w:hAnsi="Calibri" w:cs="Calibri"/>
        </w:rPr>
        <w:t>Accountability and ownership for e</w:t>
      </w:r>
      <w:r w:rsidR="00820196" w:rsidRPr="00B8744F">
        <w:rPr>
          <w:rFonts w:ascii="Calibri" w:hAnsi="Calibri" w:cs="Calibri"/>
        </w:rPr>
        <w:t xml:space="preserve">ach </w:t>
      </w:r>
      <w:r w:rsidR="00590E84" w:rsidRPr="00B8744F">
        <w:rPr>
          <w:rFonts w:ascii="Calibri" w:hAnsi="Calibri" w:cs="Calibri"/>
        </w:rPr>
        <w:t xml:space="preserve">strategic </w:t>
      </w:r>
      <w:r w:rsidR="00820196" w:rsidRPr="00B8744F">
        <w:rPr>
          <w:rFonts w:ascii="Calibri" w:hAnsi="Calibri" w:cs="Calibri"/>
        </w:rPr>
        <w:t xml:space="preserve">risk is assigned to a member of the Senior Management </w:t>
      </w:r>
      <w:r w:rsidR="00BD42D8" w:rsidRPr="00B8744F">
        <w:rPr>
          <w:rFonts w:ascii="Calibri" w:hAnsi="Calibri" w:cs="Calibri"/>
        </w:rPr>
        <w:t>Team</w:t>
      </w:r>
      <w:r w:rsidR="00820196" w:rsidRPr="00B8744F">
        <w:rPr>
          <w:rFonts w:ascii="Calibri" w:hAnsi="Calibri" w:cs="Calibri"/>
        </w:rPr>
        <w:t xml:space="preserve">. </w:t>
      </w:r>
    </w:p>
    <w:p w14:paraId="5BD5A221" w14:textId="095D6B69" w:rsidR="00820196" w:rsidRDefault="00820196" w:rsidP="00F00536">
      <w:pPr>
        <w:pStyle w:val="ListParagraph"/>
        <w:numPr>
          <w:ilvl w:val="0"/>
          <w:numId w:val="10"/>
        </w:numPr>
        <w:jc w:val="both"/>
        <w:rPr>
          <w:rFonts w:ascii="Calibri" w:hAnsi="Calibri" w:cs="Calibri"/>
        </w:rPr>
      </w:pPr>
      <w:r w:rsidRPr="00820196">
        <w:rPr>
          <w:rFonts w:ascii="Calibri" w:hAnsi="Calibri" w:cs="Calibri"/>
        </w:rPr>
        <w:t>The role of risk owner is to take responsibility for ensuring that suitable management strategies are in place for dealing with each identified risk</w:t>
      </w:r>
      <w:r w:rsidR="00BD42D8">
        <w:rPr>
          <w:rFonts w:ascii="Calibri" w:hAnsi="Calibri" w:cs="Calibri"/>
        </w:rPr>
        <w:t>.</w:t>
      </w:r>
    </w:p>
    <w:p w14:paraId="036FFF58" w14:textId="3AF95609" w:rsidR="00EF5FA1" w:rsidRPr="00540103" w:rsidRDefault="00EF5FA1" w:rsidP="004C4A65">
      <w:pPr>
        <w:pStyle w:val="ListParagraph"/>
        <w:numPr>
          <w:ilvl w:val="0"/>
          <w:numId w:val="10"/>
        </w:numPr>
        <w:rPr>
          <w:rFonts w:ascii="Calibri" w:hAnsi="Calibri" w:cs="Calibri"/>
        </w:rPr>
      </w:pPr>
      <w:r w:rsidRPr="00EF5FA1">
        <w:rPr>
          <w:rFonts w:ascii="Calibri" w:hAnsi="Calibri" w:cs="Calibri"/>
        </w:rPr>
        <w:t xml:space="preserve">Internal Audit evaluate the internal control systems and provide assurance to Audit Committee and University Court on the effectiveness of risk management processes.  The internal audit strategy is developed around the University’s strategic objectives and is informed by </w:t>
      </w:r>
      <w:r w:rsidRPr="00540103">
        <w:rPr>
          <w:rFonts w:ascii="Calibri" w:hAnsi="Calibri" w:cs="Calibri"/>
        </w:rPr>
        <w:t xml:space="preserve">the </w:t>
      </w:r>
      <w:r w:rsidR="00510419" w:rsidRPr="00540103">
        <w:rPr>
          <w:rFonts w:ascii="Calibri" w:hAnsi="Calibri" w:cs="Calibri"/>
        </w:rPr>
        <w:t>Institutional Register of Strategic Risk</w:t>
      </w:r>
      <w:r w:rsidRPr="00540103">
        <w:rPr>
          <w:rFonts w:ascii="Calibri" w:hAnsi="Calibri" w:cs="Calibri"/>
        </w:rPr>
        <w:t>.</w:t>
      </w:r>
    </w:p>
    <w:p w14:paraId="331CAA1B" w14:textId="7749B3A2" w:rsidR="00AA1EB0" w:rsidRPr="00540103" w:rsidRDefault="000A7D7C" w:rsidP="00F00536">
      <w:pPr>
        <w:pStyle w:val="ListParagraph"/>
        <w:numPr>
          <w:ilvl w:val="0"/>
          <w:numId w:val="10"/>
        </w:numPr>
        <w:jc w:val="both"/>
        <w:rPr>
          <w:rFonts w:ascii="Calibri" w:hAnsi="Calibri" w:cs="Calibri"/>
        </w:rPr>
      </w:pPr>
      <w:r w:rsidRPr="00540103">
        <w:rPr>
          <w:rFonts w:ascii="Calibri" w:hAnsi="Calibri" w:cs="Calibri"/>
        </w:rPr>
        <w:t xml:space="preserve">The University’s </w:t>
      </w:r>
      <w:r w:rsidR="00720F47" w:rsidRPr="00540103">
        <w:rPr>
          <w:rFonts w:ascii="Calibri" w:hAnsi="Calibri" w:cs="Calibri"/>
        </w:rPr>
        <w:t xml:space="preserve">planning </w:t>
      </w:r>
      <w:r w:rsidR="68B33CCA" w:rsidRPr="00540103">
        <w:rPr>
          <w:rFonts w:ascii="Calibri" w:hAnsi="Calibri" w:cs="Calibri"/>
        </w:rPr>
        <w:t>and budgeting cycle</w:t>
      </w:r>
      <w:r w:rsidR="00720F47" w:rsidRPr="00540103">
        <w:rPr>
          <w:rFonts w:ascii="Calibri" w:hAnsi="Calibri" w:cs="Calibri"/>
        </w:rPr>
        <w:t xml:space="preserve"> sets the objectives and targets necessary to achieve the delivery of our strategic ambitions.  Operational risk management </w:t>
      </w:r>
      <w:r w:rsidR="00227362" w:rsidRPr="00540103">
        <w:rPr>
          <w:rFonts w:ascii="Calibri" w:hAnsi="Calibri" w:cs="Calibri"/>
        </w:rPr>
        <w:t>is embedded within this process</w:t>
      </w:r>
      <w:r w:rsidR="00E61525" w:rsidRPr="00540103">
        <w:rPr>
          <w:rFonts w:ascii="Calibri" w:hAnsi="Calibri" w:cs="Calibri"/>
        </w:rPr>
        <w:t xml:space="preserve">, </w:t>
      </w:r>
      <w:r w:rsidR="4C4E188A" w:rsidRPr="00540103">
        <w:rPr>
          <w:rFonts w:ascii="Calibri" w:hAnsi="Calibri" w:cs="Calibri"/>
        </w:rPr>
        <w:t>is</w:t>
      </w:r>
      <w:r w:rsidR="001A18D7" w:rsidRPr="00540103">
        <w:rPr>
          <w:rFonts w:ascii="Calibri" w:hAnsi="Calibri" w:cs="Calibri"/>
        </w:rPr>
        <w:t xml:space="preserve"> </w:t>
      </w:r>
      <w:r w:rsidR="001752CA" w:rsidRPr="00540103">
        <w:rPr>
          <w:rFonts w:ascii="Calibri" w:hAnsi="Calibri" w:cs="Calibri"/>
        </w:rPr>
        <w:t>reviewed periodically</w:t>
      </w:r>
      <w:r w:rsidR="00056D70" w:rsidRPr="00540103">
        <w:rPr>
          <w:rFonts w:ascii="Calibri" w:hAnsi="Calibri" w:cs="Calibri"/>
        </w:rPr>
        <w:t xml:space="preserve">, </w:t>
      </w:r>
      <w:r w:rsidR="00590E84" w:rsidRPr="00540103">
        <w:rPr>
          <w:rFonts w:ascii="Calibri" w:hAnsi="Calibri" w:cs="Calibri"/>
        </w:rPr>
        <w:t xml:space="preserve">and </w:t>
      </w:r>
      <w:r w:rsidR="45C6F569" w:rsidRPr="00540103">
        <w:rPr>
          <w:rFonts w:ascii="Calibri" w:hAnsi="Calibri" w:cs="Calibri"/>
        </w:rPr>
        <w:t>informs</w:t>
      </w:r>
      <w:r w:rsidR="00590E84" w:rsidRPr="00540103">
        <w:rPr>
          <w:rFonts w:ascii="Calibri" w:hAnsi="Calibri" w:cs="Calibri"/>
        </w:rPr>
        <w:t xml:space="preserve"> strategic risk review</w:t>
      </w:r>
      <w:r w:rsidR="0024499C" w:rsidRPr="00540103">
        <w:rPr>
          <w:rFonts w:ascii="Calibri" w:hAnsi="Calibri" w:cs="Calibri"/>
        </w:rPr>
        <w:t>.  W</w:t>
      </w:r>
      <w:r w:rsidR="00590E84" w:rsidRPr="00540103">
        <w:rPr>
          <w:rFonts w:ascii="Calibri" w:hAnsi="Calibri" w:cs="Calibri"/>
        </w:rPr>
        <w:t xml:space="preserve">here risks identified are either common to all operational </w:t>
      </w:r>
      <w:r w:rsidR="001121F5" w:rsidRPr="00540103">
        <w:rPr>
          <w:rFonts w:ascii="Calibri" w:hAnsi="Calibri" w:cs="Calibri"/>
        </w:rPr>
        <w:t xml:space="preserve">areas </w:t>
      </w:r>
      <w:r w:rsidR="00590E84" w:rsidRPr="00540103">
        <w:rPr>
          <w:rFonts w:ascii="Calibri" w:hAnsi="Calibri" w:cs="Calibri"/>
        </w:rPr>
        <w:t xml:space="preserve">or where they have been identified as </w:t>
      </w:r>
      <w:r w:rsidR="00590E84" w:rsidRPr="00540103">
        <w:rPr>
          <w:rFonts w:ascii="Calibri" w:hAnsi="Calibri" w:cs="Calibri"/>
        </w:rPr>
        <w:lastRenderedPageBreak/>
        <w:t>having potentially broader implications</w:t>
      </w:r>
      <w:r w:rsidR="001A18D7" w:rsidRPr="00540103">
        <w:rPr>
          <w:rFonts w:ascii="Calibri" w:hAnsi="Calibri" w:cs="Calibri"/>
        </w:rPr>
        <w:t xml:space="preserve">, they will be </w:t>
      </w:r>
      <w:r w:rsidR="007412B1" w:rsidRPr="00540103">
        <w:rPr>
          <w:rFonts w:ascii="Calibri" w:hAnsi="Calibri" w:cs="Calibri"/>
        </w:rPr>
        <w:t xml:space="preserve">recorded, evaluated and monitored </w:t>
      </w:r>
      <w:r w:rsidR="00294B3D" w:rsidRPr="00540103">
        <w:rPr>
          <w:rFonts w:ascii="Calibri" w:hAnsi="Calibri" w:cs="Calibri"/>
        </w:rPr>
        <w:t xml:space="preserve">within the Institutional </w:t>
      </w:r>
      <w:r w:rsidR="00843792" w:rsidRPr="00540103">
        <w:rPr>
          <w:rFonts w:ascii="Calibri" w:hAnsi="Calibri" w:cs="Calibri"/>
        </w:rPr>
        <w:t xml:space="preserve">Register </w:t>
      </w:r>
      <w:r w:rsidR="00510419" w:rsidRPr="00540103">
        <w:rPr>
          <w:rFonts w:ascii="Calibri" w:hAnsi="Calibri" w:cs="Calibri"/>
        </w:rPr>
        <w:t xml:space="preserve">of </w:t>
      </w:r>
      <w:r w:rsidR="00294B3D" w:rsidRPr="00540103">
        <w:rPr>
          <w:rFonts w:ascii="Calibri" w:hAnsi="Calibri" w:cs="Calibri"/>
        </w:rPr>
        <w:t>Strategic Risk</w:t>
      </w:r>
      <w:r w:rsidR="007412B1" w:rsidRPr="00540103">
        <w:rPr>
          <w:rFonts w:ascii="Calibri" w:hAnsi="Calibri" w:cs="Calibri"/>
        </w:rPr>
        <w:t xml:space="preserve">. </w:t>
      </w:r>
    </w:p>
    <w:p w14:paraId="536B4A47" w14:textId="78B68189" w:rsidR="00E57606" w:rsidRPr="00E57606" w:rsidRDefault="00E57606" w:rsidP="00E57606">
      <w:pPr>
        <w:pStyle w:val="ListParagraph"/>
        <w:numPr>
          <w:ilvl w:val="0"/>
          <w:numId w:val="10"/>
        </w:numPr>
        <w:jc w:val="both"/>
        <w:rPr>
          <w:rFonts w:ascii="Calibri" w:hAnsi="Calibri" w:cs="Calibri"/>
        </w:rPr>
      </w:pPr>
      <w:r w:rsidRPr="00E57606">
        <w:rPr>
          <w:rFonts w:ascii="Calibri" w:hAnsi="Calibri" w:cs="Calibri"/>
        </w:rPr>
        <w:t xml:space="preserve">Deans of Faculties and </w:t>
      </w:r>
      <w:r>
        <w:rPr>
          <w:rFonts w:ascii="Calibri" w:hAnsi="Calibri" w:cs="Calibri"/>
        </w:rPr>
        <w:t>S</w:t>
      </w:r>
      <w:r w:rsidRPr="00E57606">
        <w:rPr>
          <w:rFonts w:ascii="Calibri" w:hAnsi="Calibri" w:cs="Calibri"/>
        </w:rPr>
        <w:t xml:space="preserve">ervice </w:t>
      </w:r>
      <w:r>
        <w:rPr>
          <w:rFonts w:ascii="Calibri" w:hAnsi="Calibri" w:cs="Calibri"/>
        </w:rPr>
        <w:t>D</w:t>
      </w:r>
      <w:r w:rsidRPr="00E57606">
        <w:rPr>
          <w:rFonts w:ascii="Calibri" w:hAnsi="Calibri" w:cs="Calibri"/>
        </w:rPr>
        <w:t>irectors are responsible for identifying, assessing and monitoring risks at faculty and service level.</w:t>
      </w:r>
    </w:p>
    <w:p w14:paraId="7A7D4129" w14:textId="61A3E428" w:rsidR="00C250AC" w:rsidRDefault="00C250AC" w:rsidP="00F00536">
      <w:pPr>
        <w:pStyle w:val="ListParagraph"/>
        <w:numPr>
          <w:ilvl w:val="0"/>
          <w:numId w:val="9"/>
        </w:numPr>
        <w:jc w:val="both"/>
        <w:rPr>
          <w:rFonts w:ascii="Calibri" w:hAnsi="Calibri" w:cs="Calibri"/>
        </w:rPr>
      </w:pPr>
      <w:r w:rsidRPr="00335DE7">
        <w:rPr>
          <w:rFonts w:ascii="Calibri" w:hAnsi="Calibri" w:cs="Calibri"/>
        </w:rPr>
        <w:t xml:space="preserve">Employees of the University must understand the nature of risk and </w:t>
      </w:r>
      <w:r w:rsidR="00FE5DD2">
        <w:rPr>
          <w:rFonts w:ascii="Calibri" w:hAnsi="Calibri" w:cs="Calibri"/>
        </w:rPr>
        <w:t xml:space="preserve">are </w:t>
      </w:r>
      <w:r w:rsidR="00E175D9" w:rsidRPr="00335DE7">
        <w:rPr>
          <w:rFonts w:ascii="Calibri" w:hAnsi="Calibri" w:cs="Calibri"/>
        </w:rPr>
        <w:t>responsib</w:t>
      </w:r>
      <w:r w:rsidR="00E175D9">
        <w:rPr>
          <w:rFonts w:ascii="Calibri" w:hAnsi="Calibri" w:cs="Calibri"/>
        </w:rPr>
        <w:t>le</w:t>
      </w:r>
      <w:r w:rsidRPr="00335DE7">
        <w:rPr>
          <w:rFonts w:ascii="Calibri" w:hAnsi="Calibri" w:cs="Calibri"/>
        </w:rPr>
        <w:t xml:space="preserve"> for managing risk associated with their area of authority.</w:t>
      </w:r>
    </w:p>
    <w:p w14:paraId="3239B55C" w14:textId="77777777" w:rsidR="00C250AC" w:rsidRDefault="00C250AC" w:rsidP="00F00536">
      <w:pPr>
        <w:pStyle w:val="ListParagraph"/>
        <w:numPr>
          <w:ilvl w:val="0"/>
          <w:numId w:val="9"/>
        </w:numPr>
        <w:jc w:val="both"/>
        <w:rPr>
          <w:rFonts w:ascii="Calibri" w:hAnsi="Calibri" w:cs="Calibri"/>
        </w:rPr>
      </w:pPr>
      <w:r w:rsidRPr="00E60985">
        <w:rPr>
          <w:rFonts w:ascii="Calibri" w:hAnsi="Calibri" w:cs="Calibri"/>
        </w:rPr>
        <w:t>Risks associated with projects (including, for example, capital building or other infrastructure projects, collaboration and partnership agreements, business improvement, IT projects, etc.) will be examined as an integral part of the authorisation and project management processes.</w:t>
      </w:r>
    </w:p>
    <w:p w14:paraId="578B5511" w14:textId="52999145" w:rsidR="00C250AC" w:rsidRPr="00110F73" w:rsidRDefault="006913E9" w:rsidP="00F00536">
      <w:pPr>
        <w:pStyle w:val="ListParagraph"/>
        <w:numPr>
          <w:ilvl w:val="0"/>
          <w:numId w:val="9"/>
        </w:numPr>
        <w:jc w:val="both"/>
        <w:rPr>
          <w:rFonts w:ascii="Calibri" w:hAnsi="Calibri" w:cs="Calibri"/>
        </w:rPr>
      </w:pPr>
      <w:r w:rsidRPr="00110F73">
        <w:rPr>
          <w:rFonts w:ascii="Calibri" w:hAnsi="Calibri" w:cs="Calibri"/>
        </w:rPr>
        <w:t xml:space="preserve">Identification, assessment and mitigation of health and safety risk is managed by the Head of </w:t>
      </w:r>
      <w:r w:rsidR="00494B1D" w:rsidRPr="00110F73">
        <w:rPr>
          <w:rFonts w:ascii="Calibri" w:hAnsi="Calibri" w:cs="Calibri"/>
        </w:rPr>
        <w:t>Safety, Environment and Continuity</w:t>
      </w:r>
      <w:r w:rsidRPr="00110F73">
        <w:rPr>
          <w:rFonts w:ascii="Calibri" w:hAnsi="Calibri" w:cs="Calibri"/>
        </w:rPr>
        <w:t>.  These risks will not be managed as part of the University Risk Management Policy.  Please refer to</w:t>
      </w:r>
      <w:r w:rsidR="00494B1D" w:rsidRPr="00110F73">
        <w:rPr>
          <w:rFonts w:ascii="Calibri" w:hAnsi="Calibri" w:cs="Calibri"/>
        </w:rPr>
        <w:t xml:space="preserve"> </w:t>
      </w:r>
      <w:r w:rsidR="0098407E" w:rsidRPr="00110F73">
        <w:rPr>
          <w:rFonts w:ascii="Calibri" w:hAnsi="Calibri" w:cs="Calibri"/>
        </w:rPr>
        <w:t xml:space="preserve">the </w:t>
      </w:r>
      <w:hyperlink r:id="rId12">
        <w:r w:rsidR="0098407E" w:rsidRPr="60298F78">
          <w:rPr>
            <w:rStyle w:val="Hyperlink"/>
            <w:rFonts w:ascii="Calibri" w:hAnsi="Calibri" w:cs="Calibri"/>
          </w:rPr>
          <w:t xml:space="preserve">University’s Safety </w:t>
        </w:r>
        <w:r w:rsidR="00755A0F" w:rsidRPr="60298F78">
          <w:rPr>
            <w:rStyle w:val="Hyperlink"/>
            <w:rFonts w:ascii="Calibri" w:hAnsi="Calibri" w:cs="Calibri"/>
          </w:rPr>
          <w:t>Policy and Risk Assessment Procedure</w:t>
        </w:r>
      </w:hyperlink>
      <w:r w:rsidR="00755A0F" w:rsidRPr="60298F78">
        <w:rPr>
          <w:rFonts w:ascii="Calibri" w:hAnsi="Calibri" w:cs="Calibri"/>
        </w:rPr>
        <w:t xml:space="preserve"> </w:t>
      </w:r>
      <w:r w:rsidR="00E77492" w:rsidRPr="60298F78">
        <w:rPr>
          <w:rFonts w:ascii="Calibri" w:hAnsi="Calibri" w:cs="Calibri"/>
        </w:rPr>
        <w:t>for further details</w:t>
      </w:r>
      <w:r w:rsidRPr="60298F78">
        <w:rPr>
          <w:rFonts w:ascii="Calibri" w:hAnsi="Calibri" w:cs="Calibri"/>
        </w:rPr>
        <w:t>.</w:t>
      </w:r>
    </w:p>
    <w:p w14:paraId="4E3CFDE4" w14:textId="64A449CB" w:rsidR="60298F78" w:rsidRDefault="60298F78" w:rsidP="60298F78">
      <w:pPr>
        <w:pStyle w:val="ListParagraph"/>
        <w:jc w:val="both"/>
        <w:rPr>
          <w:rFonts w:ascii="Calibri" w:hAnsi="Calibri" w:cs="Calibri"/>
        </w:rPr>
      </w:pPr>
    </w:p>
    <w:p w14:paraId="362D87A5" w14:textId="4E12F27D" w:rsidR="0033588F" w:rsidRDefault="0033588F" w:rsidP="0033588F">
      <w:pPr>
        <w:spacing w:after="0"/>
        <w:rPr>
          <w:rFonts w:ascii="Calibri" w:hAnsi="Calibri" w:cs="Calibri"/>
          <w:b/>
          <w:bCs/>
        </w:rPr>
      </w:pPr>
      <w:r>
        <w:rPr>
          <w:rFonts w:ascii="Calibri" w:hAnsi="Calibri" w:cs="Calibri"/>
          <w:b/>
          <w:bCs/>
        </w:rPr>
        <w:t xml:space="preserve">Risk Identification and Assessment </w:t>
      </w:r>
    </w:p>
    <w:p w14:paraId="2939E718" w14:textId="7EB58F47" w:rsidR="006E185F" w:rsidRPr="007B3FF9" w:rsidRDefault="0033588F" w:rsidP="0033588F">
      <w:pPr>
        <w:jc w:val="both"/>
        <w:rPr>
          <w:rFonts w:ascii="Calibri" w:hAnsi="Calibri" w:cs="Calibri"/>
        </w:rPr>
      </w:pPr>
      <w:r w:rsidRPr="007B3FF9">
        <w:rPr>
          <w:rFonts w:ascii="Calibri" w:hAnsi="Calibri" w:cs="Calibri"/>
        </w:rPr>
        <w:t xml:space="preserve">The University has established a framework for </w:t>
      </w:r>
      <w:r w:rsidR="007D4686" w:rsidRPr="007B3FF9">
        <w:rPr>
          <w:rFonts w:ascii="Calibri" w:hAnsi="Calibri" w:cs="Calibri"/>
        </w:rPr>
        <w:t xml:space="preserve">systematically </w:t>
      </w:r>
      <w:r w:rsidRPr="007B3FF9">
        <w:rPr>
          <w:rFonts w:ascii="Calibri" w:hAnsi="Calibri" w:cs="Calibri"/>
        </w:rPr>
        <w:t xml:space="preserve">identifying </w:t>
      </w:r>
      <w:r w:rsidR="00A06720" w:rsidRPr="007B3FF9">
        <w:rPr>
          <w:rFonts w:ascii="Calibri" w:hAnsi="Calibri" w:cs="Calibri"/>
        </w:rPr>
        <w:t xml:space="preserve">and documenting </w:t>
      </w:r>
      <w:r w:rsidR="00FD3AE7" w:rsidRPr="007B3FF9">
        <w:rPr>
          <w:rFonts w:ascii="Calibri" w:hAnsi="Calibri" w:cs="Calibri"/>
        </w:rPr>
        <w:t xml:space="preserve">potential risks </w:t>
      </w:r>
      <w:r w:rsidR="00595192" w:rsidRPr="007B3FF9">
        <w:rPr>
          <w:rFonts w:ascii="Calibri" w:hAnsi="Calibri" w:cs="Calibri"/>
        </w:rPr>
        <w:t xml:space="preserve">across </w:t>
      </w:r>
      <w:r w:rsidR="00C30F18" w:rsidRPr="007B3FF9">
        <w:rPr>
          <w:rFonts w:ascii="Calibri" w:hAnsi="Calibri" w:cs="Calibri"/>
        </w:rPr>
        <w:t xml:space="preserve">a range of categories </w:t>
      </w:r>
      <w:r w:rsidR="007077F4" w:rsidRPr="007B3FF9">
        <w:rPr>
          <w:rFonts w:ascii="Calibri" w:hAnsi="Calibri" w:cs="Calibri"/>
        </w:rPr>
        <w:t xml:space="preserve">such as </w:t>
      </w:r>
      <w:r w:rsidR="00CA704F" w:rsidRPr="007B3FF9">
        <w:rPr>
          <w:rFonts w:ascii="Calibri" w:hAnsi="Calibri" w:cs="Calibri"/>
        </w:rPr>
        <w:t>financial</w:t>
      </w:r>
      <w:r w:rsidR="007077F4" w:rsidRPr="007B3FF9">
        <w:rPr>
          <w:rFonts w:ascii="Calibri" w:hAnsi="Calibri" w:cs="Calibri"/>
        </w:rPr>
        <w:t xml:space="preserve"> and reputational</w:t>
      </w:r>
      <w:r w:rsidR="00702B4C" w:rsidRPr="007B3FF9">
        <w:rPr>
          <w:rFonts w:ascii="Calibri" w:hAnsi="Calibri" w:cs="Calibri"/>
        </w:rPr>
        <w:t xml:space="preserve"> </w:t>
      </w:r>
      <w:r w:rsidR="002122A6" w:rsidRPr="007B3FF9">
        <w:rPr>
          <w:rFonts w:ascii="Calibri" w:hAnsi="Calibri" w:cs="Calibri"/>
        </w:rPr>
        <w:t xml:space="preserve">that could </w:t>
      </w:r>
      <w:proofErr w:type="gramStart"/>
      <w:r w:rsidR="00897B1F" w:rsidRPr="007B3FF9">
        <w:rPr>
          <w:rFonts w:ascii="Calibri" w:hAnsi="Calibri" w:cs="Calibri"/>
        </w:rPr>
        <w:t>have an effect on</w:t>
      </w:r>
      <w:proofErr w:type="gramEnd"/>
      <w:r w:rsidR="00897B1F" w:rsidRPr="007B3FF9">
        <w:rPr>
          <w:rFonts w:ascii="Calibri" w:hAnsi="Calibri" w:cs="Calibri"/>
        </w:rPr>
        <w:t xml:space="preserve"> the ability of the University to achieve its objectives.  </w:t>
      </w:r>
      <w:r w:rsidR="004C5189" w:rsidRPr="007B3FF9">
        <w:rPr>
          <w:rFonts w:ascii="Calibri" w:hAnsi="Calibri" w:cs="Calibri"/>
        </w:rPr>
        <w:t xml:space="preserve">The key risk </w:t>
      </w:r>
      <w:r w:rsidR="00D81FC5" w:rsidRPr="007B3FF9">
        <w:rPr>
          <w:rFonts w:ascii="Calibri" w:hAnsi="Calibri" w:cs="Calibri"/>
        </w:rPr>
        <w:t>categories</w:t>
      </w:r>
      <w:r w:rsidR="004C5189" w:rsidRPr="007B3FF9">
        <w:rPr>
          <w:rFonts w:ascii="Calibri" w:hAnsi="Calibri" w:cs="Calibri"/>
        </w:rPr>
        <w:t xml:space="preserve"> and definitions </w:t>
      </w:r>
      <w:r w:rsidR="00135ED2" w:rsidRPr="007B3FF9">
        <w:rPr>
          <w:rFonts w:ascii="Calibri" w:hAnsi="Calibri" w:cs="Calibri"/>
        </w:rPr>
        <w:t>are</w:t>
      </w:r>
      <w:r w:rsidR="00D81FC5" w:rsidRPr="007B3FF9">
        <w:rPr>
          <w:rFonts w:ascii="Calibri" w:hAnsi="Calibri" w:cs="Calibri"/>
        </w:rPr>
        <w:t xml:space="preserve"> presented </w:t>
      </w:r>
      <w:r w:rsidR="00A3002D">
        <w:rPr>
          <w:rFonts w:ascii="Calibri" w:hAnsi="Calibri" w:cs="Calibri"/>
        </w:rPr>
        <w:t>at</w:t>
      </w:r>
      <w:r w:rsidR="00D81FC5" w:rsidRPr="007B3FF9">
        <w:rPr>
          <w:rFonts w:ascii="Calibri" w:hAnsi="Calibri" w:cs="Calibri"/>
        </w:rPr>
        <w:t xml:space="preserve"> </w:t>
      </w:r>
      <w:r w:rsidR="00D81FC5" w:rsidRPr="007B3FF9">
        <w:rPr>
          <w:rFonts w:ascii="Calibri" w:hAnsi="Calibri" w:cs="Calibri"/>
          <w:b/>
          <w:bCs/>
        </w:rPr>
        <w:t xml:space="preserve">Appendix </w:t>
      </w:r>
      <w:r w:rsidR="008F3FBC">
        <w:rPr>
          <w:rFonts w:ascii="Calibri" w:hAnsi="Calibri" w:cs="Calibri"/>
          <w:b/>
          <w:bCs/>
        </w:rPr>
        <w:t>2</w:t>
      </w:r>
      <w:r w:rsidR="00D81FC5" w:rsidRPr="007B3FF9">
        <w:rPr>
          <w:rFonts w:ascii="Calibri" w:hAnsi="Calibri" w:cs="Calibri"/>
        </w:rPr>
        <w:t xml:space="preserve">.  </w:t>
      </w:r>
    </w:p>
    <w:p w14:paraId="5D9C4F24" w14:textId="68907021" w:rsidR="004C4A65" w:rsidRPr="00AA5E13" w:rsidRDefault="0033588F" w:rsidP="00AA5E13">
      <w:pPr>
        <w:jc w:val="both"/>
        <w:rPr>
          <w:rFonts w:ascii="Calibri" w:hAnsi="Calibri" w:cs="Calibri"/>
        </w:rPr>
      </w:pPr>
      <w:r w:rsidRPr="00804614">
        <w:rPr>
          <w:rFonts w:ascii="Calibri" w:hAnsi="Calibri" w:cs="Calibri"/>
        </w:rPr>
        <w:t>Risks must be assessed in relation to the likelihood of their occurrence and their potential impact on the achievement of objectives</w:t>
      </w:r>
      <w:r>
        <w:rPr>
          <w:rFonts w:ascii="Calibri" w:hAnsi="Calibri" w:cs="Calibri"/>
        </w:rPr>
        <w:t xml:space="preserve"> using </w:t>
      </w:r>
      <w:r w:rsidR="009E55F7">
        <w:rPr>
          <w:rFonts w:ascii="Calibri" w:hAnsi="Calibri" w:cs="Calibri"/>
        </w:rPr>
        <w:t xml:space="preserve">the </w:t>
      </w:r>
      <w:r>
        <w:rPr>
          <w:rFonts w:ascii="Calibri" w:hAnsi="Calibri" w:cs="Calibri"/>
        </w:rPr>
        <w:t>established criteria</w:t>
      </w:r>
      <w:r w:rsidR="00331744">
        <w:rPr>
          <w:rFonts w:ascii="Calibri" w:hAnsi="Calibri" w:cs="Calibri"/>
        </w:rPr>
        <w:t xml:space="preserve"> at </w:t>
      </w:r>
      <w:r w:rsidR="00331744" w:rsidRPr="00331744">
        <w:rPr>
          <w:rFonts w:ascii="Calibri" w:hAnsi="Calibri" w:cs="Calibri"/>
          <w:b/>
          <w:bCs/>
        </w:rPr>
        <w:t xml:space="preserve">Appendix </w:t>
      </w:r>
      <w:r w:rsidR="00CA59B8">
        <w:rPr>
          <w:rFonts w:ascii="Calibri" w:hAnsi="Calibri" w:cs="Calibri"/>
          <w:b/>
          <w:bCs/>
        </w:rPr>
        <w:t>2</w:t>
      </w:r>
      <w:r w:rsidR="010BC38B" w:rsidRPr="4B0D590D">
        <w:rPr>
          <w:rFonts w:ascii="Calibri" w:hAnsi="Calibri" w:cs="Calibri"/>
          <w:b/>
          <w:bCs/>
        </w:rPr>
        <w:t xml:space="preserve"> – Risk Assessment Matrix</w:t>
      </w:r>
      <w:r w:rsidRPr="4B0D590D">
        <w:rPr>
          <w:rFonts w:ascii="Calibri" w:hAnsi="Calibri" w:cs="Calibri"/>
        </w:rPr>
        <w:t>.</w:t>
      </w:r>
      <w:r>
        <w:rPr>
          <w:rFonts w:ascii="Calibri" w:hAnsi="Calibri" w:cs="Calibri"/>
        </w:rPr>
        <w:t xml:space="preserve">  The assessment process will consider qualitative and quantitative factors to </w:t>
      </w:r>
      <w:r w:rsidR="00207422">
        <w:rPr>
          <w:rFonts w:ascii="Calibri" w:hAnsi="Calibri" w:cs="Calibri"/>
        </w:rPr>
        <w:t>inform decision making</w:t>
      </w:r>
      <w:r w:rsidR="007B3FF9">
        <w:rPr>
          <w:rFonts w:ascii="Calibri" w:hAnsi="Calibri" w:cs="Calibri"/>
        </w:rPr>
        <w:t xml:space="preserve">, </w:t>
      </w:r>
      <w:r w:rsidR="001250F9">
        <w:rPr>
          <w:rFonts w:ascii="Calibri" w:hAnsi="Calibri" w:cs="Calibri"/>
        </w:rPr>
        <w:t xml:space="preserve">enable </w:t>
      </w:r>
      <w:r w:rsidR="004B7E87">
        <w:rPr>
          <w:rFonts w:ascii="Calibri" w:hAnsi="Calibri" w:cs="Calibri"/>
        </w:rPr>
        <w:t xml:space="preserve">the </w:t>
      </w:r>
      <w:r>
        <w:rPr>
          <w:rFonts w:ascii="Calibri" w:hAnsi="Calibri" w:cs="Calibri"/>
        </w:rPr>
        <w:t>prioritis</w:t>
      </w:r>
      <w:r w:rsidR="004B7E87">
        <w:rPr>
          <w:rFonts w:ascii="Calibri" w:hAnsi="Calibri" w:cs="Calibri"/>
        </w:rPr>
        <w:t xml:space="preserve">ation of </w:t>
      </w:r>
      <w:r>
        <w:rPr>
          <w:rFonts w:ascii="Calibri" w:hAnsi="Calibri" w:cs="Calibri"/>
        </w:rPr>
        <w:t>risk</w:t>
      </w:r>
      <w:r w:rsidR="007B3FF9">
        <w:rPr>
          <w:rFonts w:ascii="Calibri" w:hAnsi="Calibri" w:cs="Calibri"/>
        </w:rPr>
        <w:t>,</w:t>
      </w:r>
      <w:r>
        <w:rPr>
          <w:rFonts w:ascii="Calibri" w:hAnsi="Calibri" w:cs="Calibri"/>
        </w:rPr>
        <w:t xml:space="preserve"> and </w:t>
      </w:r>
      <w:r w:rsidR="007B3FF9">
        <w:rPr>
          <w:rFonts w:ascii="Calibri" w:hAnsi="Calibri" w:cs="Calibri"/>
        </w:rPr>
        <w:t xml:space="preserve">the </w:t>
      </w:r>
      <w:r w:rsidR="00CD6939">
        <w:rPr>
          <w:rFonts w:ascii="Calibri" w:hAnsi="Calibri" w:cs="Calibri"/>
        </w:rPr>
        <w:t xml:space="preserve">effective </w:t>
      </w:r>
      <w:r>
        <w:rPr>
          <w:rFonts w:ascii="Calibri" w:hAnsi="Calibri" w:cs="Calibri"/>
        </w:rPr>
        <w:t>allocat</w:t>
      </w:r>
      <w:r w:rsidR="00CD6939">
        <w:rPr>
          <w:rFonts w:ascii="Calibri" w:hAnsi="Calibri" w:cs="Calibri"/>
        </w:rPr>
        <w:t xml:space="preserve">ion of </w:t>
      </w:r>
      <w:r>
        <w:rPr>
          <w:rFonts w:ascii="Calibri" w:hAnsi="Calibri" w:cs="Calibri"/>
        </w:rPr>
        <w:t>resources</w:t>
      </w:r>
      <w:r w:rsidRPr="00804614">
        <w:rPr>
          <w:rFonts w:ascii="Calibri" w:hAnsi="Calibri" w:cs="Calibri"/>
        </w:rPr>
        <w:t>.</w:t>
      </w:r>
    </w:p>
    <w:p w14:paraId="1657DC6B" w14:textId="7670B9FE" w:rsidR="009E6058" w:rsidRPr="00206406" w:rsidRDefault="009E6058" w:rsidP="00E863B8">
      <w:pPr>
        <w:spacing w:after="0"/>
        <w:rPr>
          <w:rFonts w:ascii="Calibri" w:hAnsi="Calibri" w:cs="Calibri"/>
          <w:b/>
          <w:bCs/>
        </w:rPr>
      </w:pPr>
      <w:r w:rsidRPr="00206406">
        <w:rPr>
          <w:rFonts w:ascii="Calibri" w:hAnsi="Calibri" w:cs="Calibri"/>
          <w:b/>
          <w:bCs/>
        </w:rPr>
        <w:t xml:space="preserve">Risk Appetite </w:t>
      </w:r>
    </w:p>
    <w:p w14:paraId="39027372" w14:textId="516D7AEF" w:rsidR="00C75113" w:rsidRDefault="004D2EE5" w:rsidP="00AF4ADE">
      <w:pPr>
        <w:spacing w:after="0"/>
        <w:jc w:val="both"/>
        <w:rPr>
          <w:rFonts w:ascii="Calibri" w:hAnsi="Calibri" w:cs="Calibri"/>
        </w:rPr>
      </w:pPr>
      <w:r w:rsidRPr="00206406">
        <w:rPr>
          <w:rFonts w:ascii="Calibri" w:hAnsi="Calibri" w:cs="Calibri"/>
        </w:rPr>
        <w:t>Utilising risk appetite principles enable</w:t>
      </w:r>
      <w:r w:rsidR="007C7543">
        <w:rPr>
          <w:rFonts w:ascii="Calibri" w:hAnsi="Calibri" w:cs="Calibri"/>
        </w:rPr>
        <w:t>s</w:t>
      </w:r>
      <w:r w:rsidRPr="00206406">
        <w:rPr>
          <w:rFonts w:ascii="Calibri" w:hAnsi="Calibri" w:cs="Calibri"/>
        </w:rPr>
        <w:t xml:space="preserve"> the University to identify and set appropriate thresholds for risks, whereby </w:t>
      </w:r>
      <w:r w:rsidR="00FC26B5" w:rsidRPr="00206406">
        <w:rPr>
          <w:rFonts w:ascii="Calibri" w:hAnsi="Calibri" w:cs="Calibri"/>
        </w:rPr>
        <w:t xml:space="preserve">University Court </w:t>
      </w:r>
      <w:r w:rsidRPr="00206406">
        <w:rPr>
          <w:rFonts w:ascii="Calibri" w:hAnsi="Calibri" w:cs="Calibri"/>
        </w:rPr>
        <w:t xml:space="preserve">establishes the level of risk </w:t>
      </w:r>
      <w:r w:rsidR="00B9199D" w:rsidRPr="00206406">
        <w:rPr>
          <w:rFonts w:ascii="Calibri" w:hAnsi="Calibri" w:cs="Calibri"/>
        </w:rPr>
        <w:t>the University is</w:t>
      </w:r>
      <w:r w:rsidRPr="00206406">
        <w:rPr>
          <w:rFonts w:ascii="Calibri" w:hAnsi="Calibri" w:cs="Calibri"/>
        </w:rPr>
        <w:t xml:space="preserve"> willing and able to </w:t>
      </w:r>
      <w:r w:rsidR="00C264AE">
        <w:rPr>
          <w:rFonts w:ascii="Calibri" w:hAnsi="Calibri" w:cs="Calibri"/>
        </w:rPr>
        <w:t xml:space="preserve">accept or </w:t>
      </w:r>
      <w:r w:rsidRPr="00206406">
        <w:rPr>
          <w:rFonts w:ascii="Calibri" w:hAnsi="Calibri" w:cs="Calibri"/>
        </w:rPr>
        <w:t xml:space="preserve">absorb </w:t>
      </w:r>
      <w:r w:rsidRPr="00BD5F51">
        <w:rPr>
          <w:rFonts w:ascii="Calibri" w:hAnsi="Calibri" w:cs="Calibri"/>
        </w:rPr>
        <w:t xml:space="preserve">in pursuit of </w:t>
      </w:r>
      <w:r w:rsidR="00B9199D" w:rsidRPr="00BD5F51">
        <w:rPr>
          <w:rFonts w:ascii="Calibri" w:hAnsi="Calibri" w:cs="Calibri"/>
        </w:rPr>
        <w:t xml:space="preserve">its </w:t>
      </w:r>
      <w:r w:rsidRPr="00BD5F51">
        <w:rPr>
          <w:rFonts w:ascii="Calibri" w:hAnsi="Calibri" w:cs="Calibri"/>
        </w:rPr>
        <w:t>objectives.</w:t>
      </w:r>
      <w:r w:rsidR="00AF4ADE" w:rsidRPr="00BD5F51">
        <w:rPr>
          <w:rFonts w:ascii="Calibri" w:hAnsi="Calibri" w:cs="Calibri"/>
        </w:rPr>
        <w:t xml:space="preserve">  </w:t>
      </w:r>
    </w:p>
    <w:p w14:paraId="06764CBD" w14:textId="77777777" w:rsidR="00C75113" w:rsidRDefault="00C75113" w:rsidP="00C75113">
      <w:pPr>
        <w:spacing w:after="0"/>
        <w:jc w:val="both"/>
        <w:rPr>
          <w:rFonts w:ascii="Calibri" w:hAnsi="Calibri" w:cs="Calibri"/>
          <w:lang w:bidi="en-GB"/>
        </w:rPr>
      </w:pPr>
    </w:p>
    <w:p w14:paraId="4FF8B0E5" w14:textId="75E28DF7" w:rsidR="00A308A9" w:rsidRDefault="00A308A9" w:rsidP="60298F78">
      <w:pPr>
        <w:spacing w:after="0"/>
        <w:jc w:val="both"/>
        <w:rPr>
          <w:rFonts w:ascii="Calibri" w:hAnsi="Calibri" w:cs="Calibri"/>
          <w:b/>
          <w:bCs/>
        </w:rPr>
      </w:pPr>
      <w:r w:rsidRPr="00804614">
        <w:rPr>
          <w:rFonts w:ascii="Calibri" w:hAnsi="Calibri" w:cs="Calibri"/>
        </w:rPr>
        <w:t xml:space="preserve">The University recognises that risk appetite </w:t>
      </w:r>
      <w:r>
        <w:rPr>
          <w:rFonts w:ascii="Calibri" w:hAnsi="Calibri" w:cs="Calibri"/>
        </w:rPr>
        <w:t xml:space="preserve">will vary </w:t>
      </w:r>
      <w:r w:rsidRPr="00804614">
        <w:rPr>
          <w:rFonts w:ascii="Calibri" w:hAnsi="Calibri" w:cs="Calibri"/>
        </w:rPr>
        <w:t>according to the activity</w:t>
      </w:r>
      <w:r>
        <w:rPr>
          <w:rFonts w:ascii="Calibri" w:hAnsi="Calibri" w:cs="Calibri"/>
        </w:rPr>
        <w:t>,</w:t>
      </w:r>
      <w:r w:rsidRPr="00804614">
        <w:rPr>
          <w:rFonts w:ascii="Calibri" w:hAnsi="Calibri" w:cs="Calibri"/>
        </w:rPr>
        <w:t xml:space="preserve"> and that its acceptance of risk is subject to ensuring the potential benefits and risks are clearly identified</w:t>
      </w:r>
      <w:r w:rsidR="00A94EE0">
        <w:rPr>
          <w:rFonts w:ascii="Calibri" w:hAnsi="Calibri" w:cs="Calibri"/>
        </w:rPr>
        <w:t xml:space="preserve">, </w:t>
      </w:r>
      <w:r w:rsidRPr="00804614">
        <w:rPr>
          <w:rFonts w:ascii="Calibri" w:hAnsi="Calibri" w:cs="Calibri"/>
        </w:rPr>
        <w:t>and that measures to mitigate risk are established before activities are approved</w:t>
      </w:r>
      <w:r>
        <w:rPr>
          <w:rFonts w:ascii="Calibri" w:hAnsi="Calibri" w:cs="Calibri"/>
        </w:rPr>
        <w:t>.</w:t>
      </w:r>
    </w:p>
    <w:p w14:paraId="47C5FFF3" w14:textId="77777777" w:rsidR="00A308A9" w:rsidRDefault="00A308A9" w:rsidP="00AF4ADE">
      <w:pPr>
        <w:spacing w:after="0"/>
        <w:jc w:val="both"/>
        <w:rPr>
          <w:rFonts w:ascii="Calibri" w:hAnsi="Calibri" w:cs="Calibri"/>
          <w:lang w:bidi="en-GB"/>
        </w:rPr>
      </w:pPr>
    </w:p>
    <w:p w14:paraId="0B8CA8EB" w14:textId="3C4EBE3F" w:rsidR="00AF4ADE" w:rsidRPr="00BD5F51" w:rsidRDefault="00C75113" w:rsidP="00AF4ADE">
      <w:pPr>
        <w:spacing w:after="0"/>
        <w:jc w:val="both"/>
        <w:rPr>
          <w:rFonts w:ascii="Calibri" w:hAnsi="Calibri" w:cs="Calibri"/>
          <w:lang w:bidi="en-GB"/>
        </w:rPr>
      </w:pPr>
      <w:r w:rsidRPr="00C75113">
        <w:rPr>
          <w:rFonts w:ascii="Calibri" w:hAnsi="Calibri" w:cs="Calibri"/>
          <w:lang w:bidi="en-GB"/>
        </w:rPr>
        <w:t xml:space="preserve">By linking risk residual scores </w:t>
      </w:r>
      <w:r w:rsidR="009462DC">
        <w:rPr>
          <w:rFonts w:ascii="Calibri" w:hAnsi="Calibri" w:cs="Calibri"/>
          <w:lang w:bidi="en-GB"/>
        </w:rPr>
        <w:t xml:space="preserve">established </w:t>
      </w:r>
      <w:r w:rsidR="005761A3">
        <w:rPr>
          <w:rFonts w:ascii="Calibri" w:hAnsi="Calibri" w:cs="Calibri"/>
          <w:lang w:bidi="en-GB"/>
        </w:rPr>
        <w:t xml:space="preserve">during the assessment process </w:t>
      </w:r>
      <w:r w:rsidRPr="00C75113">
        <w:rPr>
          <w:rFonts w:ascii="Calibri" w:hAnsi="Calibri" w:cs="Calibri"/>
          <w:lang w:bidi="en-GB"/>
        </w:rPr>
        <w:t xml:space="preserve">to </w:t>
      </w:r>
      <w:r w:rsidR="002370EB">
        <w:rPr>
          <w:rFonts w:ascii="Calibri" w:hAnsi="Calibri" w:cs="Calibri"/>
          <w:lang w:bidi="en-GB"/>
        </w:rPr>
        <w:t xml:space="preserve">agreed </w:t>
      </w:r>
      <w:r w:rsidRPr="00C75113">
        <w:rPr>
          <w:rFonts w:ascii="Calibri" w:hAnsi="Calibri" w:cs="Calibri"/>
          <w:lang w:bidi="en-GB"/>
        </w:rPr>
        <w:t>risk appetite</w:t>
      </w:r>
      <w:r w:rsidR="00AA0CDE">
        <w:rPr>
          <w:rFonts w:ascii="Calibri" w:hAnsi="Calibri" w:cs="Calibri"/>
          <w:lang w:bidi="en-GB"/>
        </w:rPr>
        <w:t xml:space="preserve"> levels</w:t>
      </w:r>
      <w:r w:rsidRPr="00C75113">
        <w:rPr>
          <w:rFonts w:ascii="Calibri" w:hAnsi="Calibri" w:cs="Calibri"/>
          <w:lang w:bidi="en-GB"/>
        </w:rPr>
        <w:t>, the University ensure</w:t>
      </w:r>
      <w:r w:rsidR="00FB3860">
        <w:rPr>
          <w:rFonts w:ascii="Calibri" w:hAnsi="Calibri" w:cs="Calibri"/>
          <w:lang w:bidi="en-GB"/>
        </w:rPr>
        <w:t>s</w:t>
      </w:r>
      <w:r w:rsidRPr="00C75113">
        <w:rPr>
          <w:rFonts w:ascii="Calibri" w:hAnsi="Calibri" w:cs="Calibri"/>
          <w:lang w:bidi="en-GB"/>
        </w:rPr>
        <w:t xml:space="preserve"> that </w:t>
      </w:r>
      <w:r w:rsidR="00FB3860">
        <w:rPr>
          <w:rFonts w:ascii="Calibri" w:hAnsi="Calibri" w:cs="Calibri"/>
          <w:lang w:bidi="en-GB"/>
        </w:rPr>
        <w:t xml:space="preserve">its </w:t>
      </w:r>
      <w:r w:rsidRPr="00C75113">
        <w:rPr>
          <w:rFonts w:ascii="Calibri" w:hAnsi="Calibri" w:cs="Calibri"/>
          <w:lang w:bidi="en-GB"/>
        </w:rPr>
        <w:t>risk management efforts are aligned with strategic objectives and tolerance for risk</w:t>
      </w:r>
      <w:r w:rsidR="00FB3860">
        <w:rPr>
          <w:rFonts w:ascii="Calibri" w:hAnsi="Calibri" w:cs="Calibri"/>
          <w:lang w:bidi="en-GB"/>
        </w:rPr>
        <w:t xml:space="preserve">.  This </w:t>
      </w:r>
      <w:r w:rsidRPr="00C75113">
        <w:rPr>
          <w:rFonts w:ascii="Calibri" w:hAnsi="Calibri" w:cs="Calibri"/>
          <w:lang w:bidi="en-GB"/>
        </w:rPr>
        <w:t>ultimately support</w:t>
      </w:r>
      <w:r w:rsidR="00FB3860">
        <w:rPr>
          <w:rFonts w:ascii="Calibri" w:hAnsi="Calibri" w:cs="Calibri"/>
          <w:lang w:bidi="en-GB"/>
        </w:rPr>
        <w:t>s</w:t>
      </w:r>
      <w:r w:rsidRPr="00C75113">
        <w:rPr>
          <w:rFonts w:ascii="Calibri" w:hAnsi="Calibri" w:cs="Calibri"/>
          <w:lang w:bidi="en-GB"/>
        </w:rPr>
        <w:t xml:space="preserve"> informed decision-making and effective risk governance.</w:t>
      </w:r>
      <w:r w:rsidR="00FB3860">
        <w:rPr>
          <w:rFonts w:ascii="Calibri" w:hAnsi="Calibri" w:cs="Calibri"/>
          <w:lang w:bidi="en-GB"/>
        </w:rPr>
        <w:t xml:space="preserve">  </w:t>
      </w:r>
      <w:r w:rsidR="00AF4ADE" w:rsidRPr="00BD5F51">
        <w:rPr>
          <w:rFonts w:ascii="Calibri" w:hAnsi="Calibri" w:cs="Calibri"/>
        </w:rPr>
        <w:t xml:space="preserve">Each risk appetite level in </w:t>
      </w:r>
      <w:r w:rsidR="00AF4ADE" w:rsidRPr="00BD5F51">
        <w:rPr>
          <w:rFonts w:ascii="Calibri" w:hAnsi="Calibri" w:cs="Calibri"/>
          <w:b/>
          <w:bCs/>
        </w:rPr>
        <w:t>Table 1</w:t>
      </w:r>
      <w:r w:rsidR="00AF4ADE" w:rsidRPr="00BD5F51">
        <w:rPr>
          <w:rFonts w:ascii="Calibri" w:hAnsi="Calibri" w:cs="Calibri"/>
        </w:rPr>
        <w:t xml:space="preserve"> </w:t>
      </w:r>
      <w:r w:rsidR="00D71DF1">
        <w:rPr>
          <w:rFonts w:ascii="Calibri" w:hAnsi="Calibri" w:cs="Calibri"/>
        </w:rPr>
        <w:t xml:space="preserve">overleaf </w:t>
      </w:r>
      <w:r w:rsidR="00AF4ADE" w:rsidRPr="00BD5F51">
        <w:rPr>
          <w:rFonts w:ascii="Calibri" w:hAnsi="Calibri" w:cs="Calibri"/>
        </w:rPr>
        <w:t xml:space="preserve">correlates with </w:t>
      </w:r>
      <w:r w:rsidR="00505A3A">
        <w:rPr>
          <w:rFonts w:ascii="Calibri" w:hAnsi="Calibri" w:cs="Calibri"/>
        </w:rPr>
        <w:t xml:space="preserve">a residual </w:t>
      </w:r>
      <w:r w:rsidR="00AF4ADE" w:rsidRPr="00BD5F51">
        <w:rPr>
          <w:rFonts w:ascii="Calibri" w:hAnsi="Calibri" w:cs="Calibri"/>
        </w:rPr>
        <w:t>risk score on the University’s risk assessment matrix.</w:t>
      </w:r>
    </w:p>
    <w:p w14:paraId="4495331C" w14:textId="2E3902BC" w:rsidR="009E6058" w:rsidRDefault="009E6058" w:rsidP="0035602A">
      <w:pPr>
        <w:spacing w:after="0"/>
        <w:jc w:val="both"/>
        <w:rPr>
          <w:rFonts w:ascii="Calibri" w:hAnsi="Calibri" w:cs="Calibri"/>
        </w:rPr>
      </w:pPr>
    </w:p>
    <w:p w14:paraId="7E53878E" w14:textId="77777777" w:rsidR="004C4A65" w:rsidRDefault="004C4A65" w:rsidP="0035602A">
      <w:pPr>
        <w:spacing w:after="0"/>
        <w:jc w:val="both"/>
        <w:rPr>
          <w:rFonts w:ascii="Calibri" w:hAnsi="Calibri" w:cs="Calibri"/>
        </w:rPr>
      </w:pPr>
    </w:p>
    <w:p w14:paraId="2029A3FA" w14:textId="77777777" w:rsidR="004C4A65" w:rsidRDefault="004C4A65" w:rsidP="0035602A">
      <w:pPr>
        <w:spacing w:after="0"/>
        <w:jc w:val="both"/>
        <w:rPr>
          <w:rFonts w:ascii="Calibri" w:hAnsi="Calibri" w:cs="Calibri"/>
        </w:rPr>
      </w:pPr>
    </w:p>
    <w:p w14:paraId="0CA62EFB" w14:textId="77777777" w:rsidR="004C4A65" w:rsidRDefault="004C4A65" w:rsidP="0035602A">
      <w:pPr>
        <w:spacing w:after="0"/>
        <w:jc w:val="both"/>
        <w:rPr>
          <w:rFonts w:ascii="Calibri" w:hAnsi="Calibri" w:cs="Calibri"/>
        </w:rPr>
      </w:pPr>
    </w:p>
    <w:p w14:paraId="62CEE94F" w14:textId="77777777" w:rsidR="004C4A65" w:rsidRDefault="004C4A65" w:rsidP="0035602A">
      <w:pPr>
        <w:spacing w:after="0"/>
        <w:jc w:val="both"/>
        <w:rPr>
          <w:rFonts w:ascii="Calibri" w:hAnsi="Calibri" w:cs="Calibri"/>
        </w:rPr>
      </w:pPr>
    </w:p>
    <w:p w14:paraId="679FFA4A" w14:textId="77777777" w:rsidR="00D71DF1" w:rsidRDefault="00D71DF1" w:rsidP="0035602A">
      <w:pPr>
        <w:spacing w:after="0"/>
        <w:jc w:val="both"/>
        <w:rPr>
          <w:rFonts w:ascii="Calibri" w:hAnsi="Calibri" w:cs="Calibri"/>
        </w:rPr>
      </w:pPr>
    </w:p>
    <w:p w14:paraId="036ACE0C" w14:textId="77777777" w:rsidR="00D71DF1" w:rsidRDefault="00D71DF1" w:rsidP="0035602A">
      <w:pPr>
        <w:spacing w:after="0"/>
        <w:jc w:val="both"/>
        <w:rPr>
          <w:rFonts w:ascii="Calibri" w:hAnsi="Calibri" w:cs="Calibri"/>
        </w:rPr>
      </w:pPr>
    </w:p>
    <w:p w14:paraId="53CC26ED" w14:textId="77777777" w:rsidR="00D71DF1" w:rsidRDefault="00D71DF1" w:rsidP="0035602A">
      <w:pPr>
        <w:spacing w:after="0"/>
        <w:jc w:val="both"/>
        <w:rPr>
          <w:rFonts w:ascii="Calibri" w:hAnsi="Calibri" w:cs="Calibri"/>
        </w:rPr>
      </w:pPr>
    </w:p>
    <w:p w14:paraId="4D5F8206" w14:textId="77777777" w:rsidR="004C4A65" w:rsidRDefault="004C4A65" w:rsidP="0035602A">
      <w:pPr>
        <w:spacing w:after="0"/>
        <w:jc w:val="both"/>
        <w:rPr>
          <w:rFonts w:ascii="Calibri" w:hAnsi="Calibri" w:cs="Calibri"/>
        </w:rPr>
      </w:pPr>
    </w:p>
    <w:p w14:paraId="5886E039" w14:textId="77777777" w:rsidR="004202C8" w:rsidRDefault="004202C8" w:rsidP="0035602A">
      <w:pPr>
        <w:spacing w:after="0"/>
        <w:jc w:val="both"/>
        <w:rPr>
          <w:rFonts w:ascii="Calibri" w:hAnsi="Calibri" w:cs="Calibri"/>
        </w:rPr>
      </w:pPr>
    </w:p>
    <w:p w14:paraId="218010BA" w14:textId="2017AE4C" w:rsidR="00E364C9" w:rsidRPr="00BD5F51" w:rsidRDefault="00AF4ADE" w:rsidP="0035602A">
      <w:pPr>
        <w:spacing w:after="0"/>
        <w:jc w:val="both"/>
        <w:rPr>
          <w:rFonts w:ascii="Calibri" w:hAnsi="Calibri" w:cs="Calibri"/>
          <w:b/>
          <w:bCs/>
        </w:rPr>
      </w:pPr>
      <w:r w:rsidRPr="00BD5F51">
        <w:rPr>
          <w:rFonts w:ascii="Calibri" w:hAnsi="Calibri" w:cs="Calibri"/>
          <w:b/>
          <w:bCs/>
        </w:rPr>
        <w:lastRenderedPageBreak/>
        <w:t>Table 1 – Risk Appetite</w:t>
      </w:r>
      <w:r w:rsidR="00D504C8">
        <w:rPr>
          <w:rFonts w:ascii="Calibri" w:hAnsi="Calibri" w:cs="Calibri"/>
          <w:b/>
          <w:bCs/>
        </w:rPr>
        <w:t xml:space="preserve">, </w:t>
      </w:r>
      <w:r w:rsidR="00BD5F51" w:rsidRPr="00BD5F51">
        <w:rPr>
          <w:rFonts w:ascii="Calibri" w:hAnsi="Calibri" w:cs="Calibri"/>
          <w:b/>
          <w:bCs/>
        </w:rPr>
        <w:t xml:space="preserve">Description </w:t>
      </w:r>
      <w:r w:rsidR="00D504C8">
        <w:rPr>
          <w:rFonts w:ascii="Calibri" w:hAnsi="Calibri" w:cs="Calibri"/>
          <w:b/>
          <w:bCs/>
        </w:rPr>
        <w:t xml:space="preserve">and Risk Tolerance </w:t>
      </w:r>
    </w:p>
    <w:tbl>
      <w:tblPr>
        <w:tblStyle w:val="TableGrid"/>
        <w:tblW w:w="9067" w:type="dxa"/>
        <w:tblLook w:val="04A0" w:firstRow="1" w:lastRow="0" w:firstColumn="1" w:lastColumn="0" w:noHBand="0" w:noVBand="1"/>
      </w:tblPr>
      <w:tblGrid>
        <w:gridCol w:w="1201"/>
        <w:gridCol w:w="5740"/>
        <w:gridCol w:w="2126"/>
      </w:tblGrid>
      <w:tr w:rsidR="00EF5C74" w14:paraId="44AEE14A" w14:textId="7766B335" w:rsidTr="00FC0489">
        <w:tc>
          <w:tcPr>
            <w:tcW w:w="1201" w:type="dxa"/>
            <w:shd w:val="clear" w:color="auto" w:fill="3A7C22" w:themeFill="accent6" w:themeFillShade="BF"/>
          </w:tcPr>
          <w:p w14:paraId="73C9CC89" w14:textId="0457822B" w:rsidR="00EF5C74" w:rsidRPr="00FC0489" w:rsidRDefault="00EF5C74" w:rsidP="00437416">
            <w:pPr>
              <w:spacing w:beforeAutospacing="1" w:afterAutospacing="1"/>
              <w:rPr>
                <w:rFonts w:ascii="Calibri" w:hAnsi="Calibri"/>
                <w:b/>
                <w:color w:val="FFFFFF" w:themeColor="background1"/>
                <w:sz w:val="22"/>
                <w:szCs w:val="22"/>
                <w:lang w:bidi="en-GB"/>
              </w:rPr>
            </w:pPr>
            <w:r w:rsidRPr="00FC0489">
              <w:rPr>
                <w:rFonts w:ascii="Calibri" w:hAnsi="Calibri"/>
                <w:b/>
                <w:color w:val="FFFFFF" w:themeColor="background1"/>
                <w:sz w:val="22"/>
                <w:szCs w:val="22"/>
                <w:lang w:bidi="en-GB"/>
              </w:rPr>
              <w:t xml:space="preserve">Risk </w:t>
            </w:r>
            <w:r w:rsidR="00BD5F51" w:rsidRPr="00FC0489">
              <w:rPr>
                <w:rFonts w:ascii="Calibri" w:hAnsi="Calibri"/>
                <w:b/>
                <w:color w:val="FFFFFF" w:themeColor="background1"/>
                <w:sz w:val="22"/>
                <w:szCs w:val="22"/>
                <w:lang w:bidi="en-GB"/>
              </w:rPr>
              <w:t>A</w:t>
            </w:r>
            <w:r w:rsidRPr="00FC0489">
              <w:rPr>
                <w:rFonts w:ascii="Calibri" w:hAnsi="Calibri"/>
                <w:b/>
                <w:color w:val="FFFFFF" w:themeColor="background1"/>
                <w:sz w:val="22"/>
                <w:szCs w:val="22"/>
                <w:lang w:bidi="en-GB"/>
              </w:rPr>
              <w:t>ppetite</w:t>
            </w:r>
            <w:r w:rsidR="00BD5F51" w:rsidRPr="00FC0489">
              <w:rPr>
                <w:rFonts w:ascii="Calibri" w:hAnsi="Calibri"/>
                <w:b/>
                <w:color w:val="FFFFFF" w:themeColor="background1"/>
                <w:sz w:val="22"/>
                <w:szCs w:val="22"/>
                <w:lang w:bidi="en-GB"/>
              </w:rPr>
              <w:t xml:space="preserve"> </w:t>
            </w:r>
          </w:p>
        </w:tc>
        <w:tc>
          <w:tcPr>
            <w:tcW w:w="5740" w:type="dxa"/>
            <w:shd w:val="clear" w:color="auto" w:fill="3A7C22" w:themeFill="accent6" w:themeFillShade="BF"/>
          </w:tcPr>
          <w:p w14:paraId="0923FD08" w14:textId="77777777" w:rsidR="00EF5C74" w:rsidRPr="00FC0489" w:rsidRDefault="00EF5C74" w:rsidP="00437416">
            <w:pPr>
              <w:spacing w:beforeAutospacing="1" w:afterAutospacing="1"/>
              <w:rPr>
                <w:rFonts w:ascii="Calibri" w:hAnsi="Calibri"/>
                <w:b/>
                <w:color w:val="FFFFFF" w:themeColor="background1"/>
                <w:sz w:val="22"/>
                <w:szCs w:val="22"/>
                <w:lang w:bidi="en-GB"/>
              </w:rPr>
            </w:pPr>
            <w:r w:rsidRPr="00FC0489">
              <w:rPr>
                <w:rFonts w:ascii="Calibri" w:hAnsi="Calibri"/>
                <w:b/>
                <w:color w:val="FFFFFF" w:themeColor="background1"/>
                <w:sz w:val="22"/>
                <w:szCs w:val="22"/>
                <w:lang w:bidi="en-GB"/>
              </w:rPr>
              <w:t xml:space="preserve">Description </w:t>
            </w:r>
          </w:p>
        </w:tc>
        <w:tc>
          <w:tcPr>
            <w:tcW w:w="2126" w:type="dxa"/>
            <w:shd w:val="clear" w:color="auto" w:fill="3A7C22" w:themeFill="accent6" w:themeFillShade="BF"/>
          </w:tcPr>
          <w:p w14:paraId="39F5FE60" w14:textId="30DA4A8B" w:rsidR="00EF5C74" w:rsidRPr="00FC0489" w:rsidRDefault="00505A3A" w:rsidP="00437416">
            <w:pPr>
              <w:spacing w:beforeAutospacing="1" w:afterAutospacing="1"/>
              <w:rPr>
                <w:rFonts w:ascii="Calibri" w:hAnsi="Calibri"/>
                <w:b/>
                <w:color w:val="FFFFFF" w:themeColor="background1"/>
                <w:lang w:bidi="en-GB"/>
              </w:rPr>
            </w:pPr>
            <w:r w:rsidRPr="00FC0489">
              <w:rPr>
                <w:rFonts w:ascii="Calibri" w:hAnsi="Calibri"/>
                <w:b/>
                <w:color w:val="FFFFFF" w:themeColor="background1"/>
                <w:sz w:val="22"/>
                <w:szCs w:val="22"/>
                <w:lang w:bidi="en-GB"/>
              </w:rPr>
              <w:t xml:space="preserve">Risk </w:t>
            </w:r>
            <w:r w:rsidR="00EF5C74" w:rsidRPr="00FC0489">
              <w:rPr>
                <w:rFonts w:ascii="Calibri" w:hAnsi="Calibri"/>
                <w:b/>
                <w:color w:val="FFFFFF" w:themeColor="background1"/>
                <w:sz w:val="22"/>
                <w:szCs w:val="22"/>
                <w:lang w:bidi="en-GB"/>
              </w:rPr>
              <w:t>Tolerance</w:t>
            </w:r>
          </w:p>
        </w:tc>
      </w:tr>
      <w:tr w:rsidR="00EF5C74" w14:paraId="05E51CE6" w14:textId="479F11AF" w:rsidTr="00BD5F51">
        <w:tc>
          <w:tcPr>
            <w:tcW w:w="1201" w:type="dxa"/>
          </w:tcPr>
          <w:p w14:paraId="0405B55E" w14:textId="77777777" w:rsidR="00EF5C74" w:rsidRDefault="00EF5C74" w:rsidP="00437416">
            <w:pPr>
              <w:spacing w:beforeAutospacing="1" w:afterAutospacing="1"/>
              <w:rPr>
                <w:rFonts w:ascii="Calibri" w:hAnsi="Calibri"/>
                <w:b/>
                <w:bCs/>
                <w:color w:val="000000" w:themeColor="text1"/>
                <w:sz w:val="22"/>
                <w:szCs w:val="22"/>
                <w:lang w:bidi="en-GB"/>
              </w:rPr>
            </w:pPr>
            <w:r>
              <w:rPr>
                <w:rFonts w:ascii="Calibri" w:hAnsi="Calibri"/>
                <w:b/>
                <w:bCs/>
                <w:color w:val="000000" w:themeColor="text1"/>
                <w:sz w:val="22"/>
                <w:szCs w:val="22"/>
                <w:lang w:bidi="en-GB"/>
              </w:rPr>
              <w:t>Averse</w:t>
            </w:r>
          </w:p>
        </w:tc>
        <w:tc>
          <w:tcPr>
            <w:tcW w:w="5740" w:type="dxa"/>
          </w:tcPr>
          <w:p w14:paraId="59A0B8F9" w14:textId="77777777" w:rsidR="00EF5C74" w:rsidRPr="00ED1702" w:rsidRDefault="00EF5C74" w:rsidP="00BD5F51">
            <w:pPr>
              <w:spacing w:beforeAutospacing="1" w:afterAutospacing="1"/>
              <w:jc w:val="both"/>
              <w:rPr>
                <w:rFonts w:ascii="Calibri" w:hAnsi="Calibri"/>
                <w:color w:val="000000" w:themeColor="text1"/>
                <w:sz w:val="22"/>
                <w:szCs w:val="22"/>
                <w:lang w:bidi="en-GB"/>
              </w:rPr>
            </w:pPr>
            <w:r w:rsidRPr="00ED1702">
              <w:rPr>
                <w:rFonts w:ascii="Calibri" w:hAnsi="Calibri"/>
                <w:color w:val="000000" w:themeColor="text1"/>
                <w:sz w:val="22"/>
                <w:szCs w:val="22"/>
                <w:lang w:bidi="en-GB"/>
              </w:rPr>
              <w:t xml:space="preserve">Avoidance of risk and uncertainty in achievement of key deliverables or initiatives is a key objective.  Activities undertaken </w:t>
            </w:r>
            <w:r>
              <w:rPr>
                <w:rFonts w:ascii="Calibri" w:hAnsi="Calibri"/>
                <w:color w:val="000000" w:themeColor="text1"/>
                <w:sz w:val="22"/>
                <w:szCs w:val="22"/>
                <w:lang w:bidi="en-GB"/>
              </w:rPr>
              <w:t xml:space="preserve">will only be those considered to carry low risk. </w:t>
            </w:r>
          </w:p>
        </w:tc>
        <w:tc>
          <w:tcPr>
            <w:tcW w:w="2126" w:type="dxa"/>
          </w:tcPr>
          <w:p w14:paraId="3C764FC6" w14:textId="0FEBDA0E" w:rsidR="00EF5C74" w:rsidRPr="00ED1702" w:rsidRDefault="00421A36" w:rsidP="00BD5F51">
            <w:pPr>
              <w:spacing w:beforeAutospacing="1" w:afterAutospacing="1"/>
              <w:jc w:val="both"/>
              <w:rPr>
                <w:rFonts w:ascii="Calibri" w:hAnsi="Calibri"/>
                <w:color w:val="000000" w:themeColor="text1"/>
                <w:lang w:bidi="en-GB"/>
              </w:rPr>
            </w:pPr>
            <w:r>
              <w:rPr>
                <w:rFonts w:ascii="Calibri" w:hAnsi="Calibri"/>
                <w:color w:val="000000" w:themeColor="text1"/>
                <w:sz w:val="22"/>
                <w:szCs w:val="22"/>
                <w:lang w:bidi="en-GB"/>
              </w:rPr>
              <w:t xml:space="preserve">The University </w:t>
            </w:r>
            <w:r w:rsidR="00EF5C74">
              <w:rPr>
                <w:rFonts w:ascii="Calibri" w:hAnsi="Calibri"/>
                <w:color w:val="000000" w:themeColor="text1"/>
                <w:sz w:val="22"/>
                <w:szCs w:val="22"/>
                <w:lang w:bidi="en-GB"/>
              </w:rPr>
              <w:t>will accept risk with a</w:t>
            </w:r>
            <w:r w:rsidR="0041791A">
              <w:rPr>
                <w:rFonts w:ascii="Calibri" w:hAnsi="Calibri"/>
                <w:color w:val="000000" w:themeColor="text1"/>
                <w:sz w:val="22"/>
                <w:szCs w:val="22"/>
                <w:lang w:bidi="en-GB"/>
              </w:rPr>
              <w:t xml:space="preserve"> residual </w:t>
            </w:r>
            <w:r w:rsidR="00EF5C74">
              <w:rPr>
                <w:rFonts w:ascii="Calibri" w:hAnsi="Calibri"/>
                <w:color w:val="000000" w:themeColor="text1"/>
                <w:sz w:val="22"/>
                <w:szCs w:val="22"/>
                <w:lang w:bidi="en-GB"/>
              </w:rPr>
              <w:t>score of 1-4</w:t>
            </w:r>
          </w:p>
        </w:tc>
      </w:tr>
      <w:tr w:rsidR="00EF5C74" w14:paraId="54C26ABD" w14:textId="1A49873D" w:rsidTr="00BD5F51">
        <w:tc>
          <w:tcPr>
            <w:tcW w:w="1201" w:type="dxa"/>
          </w:tcPr>
          <w:p w14:paraId="4192615F" w14:textId="77777777" w:rsidR="00EF5C74" w:rsidRPr="00C66A4A" w:rsidRDefault="00EF5C74" w:rsidP="00437416">
            <w:pPr>
              <w:spacing w:beforeAutospacing="1" w:afterAutospacing="1"/>
              <w:rPr>
                <w:rFonts w:ascii="Calibri" w:hAnsi="Calibri"/>
                <w:b/>
                <w:bCs/>
                <w:color w:val="000000" w:themeColor="text1"/>
                <w:sz w:val="22"/>
                <w:szCs w:val="22"/>
                <w:lang w:bidi="en-GB"/>
              </w:rPr>
            </w:pPr>
            <w:r w:rsidRPr="00C66A4A">
              <w:rPr>
                <w:rFonts w:ascii="Calibri" w:hAnsi="Calibri"/>
                <w:b/>
                <w:bCs/>
                <w:color w:val="000000" w:themeColor="text1"/>
                <w:sz w:val="22"/>
                <w:szCs w:val="22"/>
                <w:lang w:bidi="en-GB"/>
              </w:rPr>
              <w:t xml:space="preserve">Cautious   </w:t>
            </w:r>
          </w:p>
        </w:tc>
        <w:tc>
          <w:tcPr>
            <w:tcW w:w="5740" w:type="dxa"/>
          </w:tcPr>
          <w:p w14:paraId="64E8DF11" w14:textId="77777777" w:rsidR="00EF5C74" w:rsidRPr="008076EB" w:rsidRDefault="00EF5C74" w:rsidP="00BD5F51">
            <w:pPr>
              <w:spacing w:beforeAutospacing="1" w:afterAutospacing="1"/>
              <w:jc w:val="both"/>
              <w:rPr>
                <w:rFonts w:ascii="Calibri" w:hAnsi="Calibri"/>
                <w:color w:val="000000" w:themeColor="text1"/>
                <w:sz w:val="22"/>
                <w:szCs w:val="22"/>
                <w:lang w:bidi="en-GB"/>
              </w:rPr>
            </w:pPr>
            <w:r>
              <w:rPr>
                <w:rFonts w:ascii="Calibri" w:hAnsi="Calibri"/>
                <w:color w:val="000000" w:themeColor="text1"/>
                <w:sz w:val="22"/>
                <w:szCs w:val="22"/>
                <w:lang w:bidi="en-GB"/>
              </w:rPr>
              <w:t xml:space="preserve">Preference for safe options that have a low degree of risk and may only have limited potential for reward (potential for benefit/return is not a key </w:t>
            </w:r>
            <w:r w:rsidRPr="004154F6">
              <w:rPr>
                <w:rFonts w:ascii="Calibri" w:hAnsi="Calibri"/>
                <w:color w:val="000000" w:themeColor="text1"/>
                <w:sz w:val="22"/>
                <w:szCs w:val="22"/>
                <w:lang w:bidi="en-GB"/>
              </w:rPr>
              <w:t>driver).</w:t>
            </w:r>
            <w:r>
              <w:rPr>
                <w:rFonts w:ascii="Calibri" w:hAnsi="Calibri"/>
                <w:color w:val="000000" w:themeColor="text1"/>
                <w:sz w:val="22"/>
                <w:szCs w:val="22"/>
                <w:lang w:bidi="en-GB"/>
              </w:rPr>
              <w:t xml:space="preserve">  </w:t>
            </w:r>
            <w:r w:rsidRPr="004154F6">
              <w:rPr>
                <w:rFonts w:ascii="Calibri" w:hAnsi="Calibri"/>
                <w:color w:val="000000" w:themeColor="text1"/>
                <w:sz w:val="22"/>
                <w:szCs w:val="22"/>
                <w:lang w:bidi="en-GB"/>
              </w:rPr>
              <w:t>Activities will only be undertaken where they have a</w:t>
            </w:r>
            <w:r>
              <w:rPr>
                <w:rFonts w:ascii="Calibri" w:hAnsi="Calibri"/>
                <w:color w:val="000000" w:themeColor="text1"/>
                <w:sz w:val="22"/>
                <w:szCs w:val="22"/>
                <w:lang w:bidi="en-GB"/>
              </w:rPr>
              <w:t xml:space="preserve"> moderate </w:t>
            </w:r>
            <w:r w:rsidRPr="008B65E6">
              <w:rPr>
                <w:rFonts w:ascii="Calibri" w:hAnsi="Calibri"/>
                <w:color w:val="000000" w:themeColor="text1"/>
                <w:sz w:val="22"/>
                <w:szCs w:val="22"/>
                <w:lang w:bidi="en-GB"/>
              </w:rPr>
              <w:t>degree of risk.</w:t>
            </w:r>
          </w:p>
        </w:tc>
        <w:tc>
          <w:tcPr>
            <w:tcW w:w="2126" w:type="dxa"/>
          </w:tcPr>
          <w:p w14:paraId="11D601E2" w14:textId="5AF50256" w:rsidR="00EF5C74" w:rsidRDefault="00421A36" w:rsidP="00BD5F51">
            <w:pPr>
              <w:spacing w:beforeAutospacing="1" w:afterAutospacing="1"/>
              <w:jc w:val="both"/>
              <w:rPr>
                <w:rFonts w:ascii="Calibri" w:hAnsi="Calibri"/>
                <w:color w:val="000000" w:themeColor="text1"/>
                <w:lang w:bidi="en-GB"/>
              </w:rPr>
            </w:pPr>
            <w:r>
              <w:rPr>
                <w:rFonts w:ascii="Calibri" w:hAnsi="Calibri"/>
                <w:color w:val="000000" w:themeColor="text1"/>
                <w:sz w:val="22"/>
                <w:szCs w:val="22"/>
                <w:lang w:bidi="en-GB"/>
              </w:rPr>
              <w:t xml:space="preserve">The University will accept </w:t>
            </w:r>
            <w:r w:rsidR="00EF5C74">
              <w:rPr>
                <w:rFonts w:ascii="Calibri" w:hAnsi="Calibri"/>
                <w:color w:val="000000" w:themeColor="text1"/>
                <w:sz w:val="22"/>
                <w:szCs w:val="22"/>
                <w:lang w:bidi="en-GB"/>
              </w:rPr>
              <w:t xml:space="preserve">risk with a </w:t>
            </w:r>
            <w:r w:rsidR="0041791A">
              <w:rPr>
                <w:rFonts w:ascii="Calibri" w:hAnsi="Calibri"/>
                <w:color w:val="000000" w:themeColor="text1"/>
                <w:sz w:val="22"/>
                <w:szCs w:val="22"/>
                <w:lang w:bidi="en-GB"/>
              </w:rPr>
              <w:t xml:space="preserve">residual </w:t>
            </w:r>
            <w:r w:rsidR="00EF5C74">
              <w:rPr>
                <w:rFonts w:ascii="Calibri" w:hAnsi="Calibri"/>
                <w:color w:val="000000" w:themeColor="text1"/>
                <w:sz w:val="22"/>
                <w:szCs w:val="22"/>
                <w:lang w:bidi="en-GB"/>
              </w:rPr>
              <w:t>score 5 – 9</w:t>
            </w:r>
          </w:p>
        </w:tc>
      </w:tr>
      <w:tr w:rsidR="00EF5C74" w14:paraId="26400074" w14:textId="1811A557" w:rsidTr="00BD5F51">
        <w:tc>
          <w:tcPr>
            <w:tcW w:w="1201" w:type="dxa"/>
          </w:tcPr>
          <w:p w14:paraId="4185AD27" w14:textId="77777777" w:rsidR="00EF5C74" w:rsidRDefault="00EF5C74" w:rsidP="00437416">
            <w:pPr>
              <w:spacing w:beforeAutospacing="1" w:afterAutospacing="1"/>
              <w:rPr>
                <w:rFonts w:ascii="Calibri" w:hAnsi="Calibri"/>
                <w:b/>
                <w:bCs/>
                <w:color w:val="000000" w:themeColor="text1"/>
                <w:sz w:val="22"/>
                <w:szCs w:val="22"/>
                <w:lang w:bidi="en-GB"/>
              </w:rPr>
            </w:pPr>
            <w:r>
              <w:rPr>
                <w:rFonts w:ascii="Calibri" w:hAnsi="Calibri"/>
                <w:b/>
                <w:bCs/>
                <w:color w:val="000000" w:themeColor="text1"/>
                <w:sz w:val="22"/>
                <w:szCs w:val="22"/>
                <w:lang w:bidi="en-GB"/>
              </w:rPr>
              <w:t xml:space="preserve">Open  </w:t>
            </w:r>
          </w:p>
        </w:tc>
        <w:tc>
          <w:tcPr>
            <w:tcW w:w="5740" w:type="dxa"/>
          </w:tcPr>
          <w:p w14:paraId="6A2B9D57" w14:textId="77777777" w:rsidR="00EF5C74" w:rsidRPr="0040507A" w:rsidRDefault="00EF5C74" w:rsidP="00BD5F51">
            <w:pPr>
              <w:spacing w:beforeAutospacing="1" w:afterAutospacing="1"/>
              <w:jc w:val="both"/>
              <w:rPr>
                <w:rFonts w:ascii="Calibri" w:hAnsi="Calibri"/>
                <w:color w:val="000000" w:themeColor="text1"/>
                <w:sz w:val="22"/>
                <w:szCs w:val="22"/>
                <w:lang w:bidi="en-GB"/>
              </w:rPr>
            </w:pPr>
            <w:r w:rsidRPr="00661ECC">
              <w:rPr>
                <w:rFonts w:ascii="Calibri" w:hAnsi="Calibri"/>
                <w:color w:val="000000" w:themeColor="text1"/>
                <w:sz w:val="22"/>
                <w:szCs w:val="22"/>
                <w:lang w:bidi="en-GB"/>
              </w:rPr>
              <w:t xml:space="preserve">Willing to consider all </w:t>
            </w:r>
            <w:r>
              <w:rPr>
                <w:rFonts w:ascii="Calibri" w:hAnsi="Calibri"/>
                <w:color w:val="000000" w:themeColor="text1"/>
                <w:sz w:val="22"/>
                <w:szCs w:val="22"/>
                <w:lang w:bidi="en-GB"/>
              </w:rPr>
              <w:t xml:space="preserve">potential </w:t>
            </w:r>
            <w:r w:rsidRPr="00661ECC">
              <w:rPr>
                <w:rFonts w:ascii="Calibri" w:hAnsi="Calibri"/>
                <w:color w:val="000000" w:themeColor="text1"/>
                <w:sz w:val="22"/>
                <w:szCs w:val="22"/>
                <w:lang w:bidi="en-GB"/>
              </w:rPr>
              <w:t>options and choose one most likely to result in successful delivery while providing an acceptable level of benefit</w:t>
            </w:r>
            <w:r>
              <w:rPr>
                <w:rFonts w:ascii="Calibri" w:hAnsi="Calibri"/>
                <w:color w:val="000000" w:themeColor="text1"/>
                <w:sz w:val="22"/>
                <w:szCs w:val="22"/>
                <w:lang w:bidi="en-GB"/>
              </w:rPr>
              <w:t xml:space="preserve"> (reward and value for money)</w:t>
            </w:r>
            <w:r w:rsidRPr="00661ECC">
              <w:rPr>
                <w:rFonts w:ascii="Calibri" w:hAnsi="Calibri"/>
                <w:color w:val="000000" w:themeColor="text1"/>
                <w:sz w:val="22"/>
                <w:szCs w:val="22"/>
                <w:lang w:bidi="en-GB"/>
              </w:rPr>
              <w:t xml:space="preserve">.  </w:t>
            </w:r>
            <w:r>
              <w:rPr>
                <w:rFonts w:ascii="Calibri" w:hAnsi="Calibri"/>
                <w:color w:val="000000" w:themeColor="text1"/>
                <w:sz w:val="22"/>
                <w:szCs w:val="22"/>
                <w:lang w:bidi="en-GB"/>
              </w:rPr>
              <w:t xml:space="preserve"> </w:t>
            </w:r>
            <w:r w:rsidRPr="00343E55">
              <w:rPr>
                <w:rFonts w:ascii="Calibri" w:hAnsi="Calibri"/>
                <w:color w:val="000000" w:themeColor="text1"/>
                <w:sz w:val="22"/>
                <w:szCs w:val="22"/>
                <w:lang w:bidi="en-GB"/>
              </w:rPr>
              <w:t xml:space="preserve">Willing to tolerate a degree of risk in selecting which activities to undertake to achieve key deliverables or initiatives, where we have identified scope to achieve significant benefit and/or realise an opportunity.  </w:t>
            </w:r>
            <w:r>
              <w:rPr>
                <w:rFonts w:ascii="Calibri" w:hAnsi="Calibri"/>
                <w:color w:val="000000" w:themeColor="text1"/>
                <w:sz w:val="22"/>
                <w:szCs w:val="22"/>
                <w:lang w:bidi="en-GB"/>
              </w:rPr>
              <w:t xml:space="preserve"> </w:t>
            </w:r>
            <w:r w:rsidRPr="00997283">
              <w:rPr>
                <w:rFonts w:ascii="Calibri" w:hAnsi="Calibri"/>
                <w:color w:val="000000" w:themeColor="text1"/>
                <w:sz w:val="22"/>
                <w:szCs w:val="22"/>
                <w:lang w:bidi="en-GB"/>
              </w:rPr>
              <w:t xml:space="preserve">Activities undertaken may carry a high degree of risk that is </w:t>
            </w:r>
            <w:proofErr w:type="gramStart"/>
            <w:r w:rsidRPr="00997283">
              <w:rPr>
                <w:rFonts w:ascii="Calibri" w:hAnsi="Calibri"/>
                <w:color w:val="000000" w:themeColor="text1"/>
                <w:sz w:val="22"/>
                <w:szCs w:val="22"/>
                <w:lang w:bidi="en-GB"/>
              </w:rPr>
              <w:t>deemed controllable to a large extent</w:t>
            </w:r>
            <w:proofErr w:type="gramEnd"/>
            <w:r w:rsidRPr="00997283">
              <w:rPr>
                <w:rFonts w:ascii="Calibri" w:hAnsi="Calibri"/>
                <w:color w:val="000000" w:themeColor="text1"/>
                <w:sz w:val="22"/>
                <w:szCs w:val="22"/>
                <w:lang w:bidi="en-GB"/>
              </w:rPr>
              <w:t xml:space="preserve">.    </w:t>
            </w:r>
          </w:p>
        </w:tc>
        <w:tc>
          <w:tcPr>
            <w:tcW w:w="2126" w:type="dxa"/>
          </w:tcPr>
          <w:p w14:paraId="7800BBA4" w14:textId="03BA561B" w:rsidR="00EF5C74" w:rsidRPr="00661ECC" w:rsidRDefault="0041791A" w:rsidP="00BD5F51">
            <w:pPr>
              <w:spacing w:beforeAutospacing="1" w:afterAutospacing="1"/>
              <w:jc w:val="both"/>
              <w:rPr>
                <w:rFonts w:ascii="Calibri" w:hAnsi="Calibri"/>
                <w:color w:val="000000" w:themeColor="text1"/>
                <w:lang w:bidi="en-GB"/>
              </w:rPr>
            </w:pPr>
            <w:r>
              <w:rPr>
                <w:rFonts w:ascii="Calibri" w:hAnsi="Calibri"/>
                <w:color w:val="000000" w:themeColor="text1"/>
                <w:sz w:val="22"/>
                <w:szCs w:val="22"/>
                <w:lang w:bidi="en-GB"/>
              </w:rPr>
              <w:t xml:space="preserve">The University will </w:t>
            </w:r>
            <w:r w:rsidR="00EF5C74">
              <w:rPr>
                <w:rFonts w:ascii="Calibri" w:hAnsi="Calibri"/>
                <w:color w:val="000000" w:themeColor="text1"/>
                <w:sz w:val="22"/>
                <w:szCs w:val="22"/>
                <w:lang w:bidi="en-GB"/>
              </w:rPr>
              <w:t xml:space="preserve">accept risk </w:t>
            </w:r>
            <w:r>
              <w:rPr>
                <w:rFonts w:ascii="Calibri" w:hAnsi="Calibri"/>
                <w:color w:val="000000" w:themeColor="text1"/>
                <w:sz w:val="22"/>
                <w:szCs w:val="22"/>
                <w:lang w:bidi="en-GB"/>
              </w:rPr>
              <w:t xml:space="preserve">with a </w:t>
            </w:r>
            <w:r w:rsidR="00677D44">
              <w:rPr>
                <w:rFonts w:ascii="Calibri" w:hAnsi="Calibri"/>
                <w:color w:val="000000" w:themeColor="text1"/>
                <w:sz w:val="22"/>
                <w:szCs w:val="22"/>
                <w:lang w:bidi="en-GB"/>
              </w:rPr>
              <w:t xml:space="preserve">residual </w:t>
            </w:r>
            <w:r w:rsidR="00EF5C74">
              <w:rPr>
                <w:rFonts w:ascii="Calibri" w:hAnsi="Calibri"/>
                <w:color w:val="000000" w:themeColor="text1"/>
                <w:sz w:val="22"/>
                <w:szCs w:val="22"/>
                <w:lang w:bidi="en-GB"/>
              </w:rPr>
              <w:t>score of 10 – 16</w:t>
            </w:r>
          </w:p>
        </w:tc>
      </w:tr>
      <w:tr w:rsidR="00EF5C74" w14:paraId="73A6E3AC" w14:textId="02779E96" w:rsidTr="00BD5F51">
        <w:tc>
          <w:tcPr>
            <w:tcW w:w="1201" w:type="dxa"/>
          </w:tcPr>
          <w:p w14:paraId="005E208F" w14:textId="77777777" w:rsidR="00EF5C74" w:rsidRDefault="00EF5C74" w:rsidP="00437416">
            <w:pPr>
              <w:spacing w:beforeAutospacing="1" w:afterAutospacing="1"/>
              <w:rPr>
                <w:rFonts w:ascii="Calibri" w:hAnsi="Calibri"/>
                <w:b/>
                <w:bCs/>
                <w:color w:val="000000" w:themeColor="text1"/>
                <w:sz w:val="22"/>
                <w:szCs w:val="22"/>
                <w:lang w:bidi="en-GB"/>
              </w:rPr>
            </w:pPr>
            <w:r>
              <w:rPr>
                <w:rFonts w:ascii="Calibri" w:hAnsi="Calibri"/>
                <w:b/>
                <w:bCs/>
                <w:color w:val="000000" w:themeColor="text1"/>
                <w:sz w:val="22"/>
                <w:szCs w:val="22"/>
                <w:lang w:bidi="en-GB"/>
              </w:rPr>
              <w:t>Eager</w:t>
            </w:r>
          </w:p>
        </w:tc>
        <w:tc>
          <w:tcPr>
            <w:tcW w:w="5740" w:type="dxa"/>
          </w:tcPr>
          <w:p w14:paraId="30B38FF8" w14:textId="77777777" w:rsidR="00EF5C74" w:rsidRPr="00D80027" w:rsidRDefault="00EF5C74" w:rsidP="00BD5F51">
            <w:pPr>
              <w:spacing w:beforeAutospacing="1" w:afterAutospacing="1"/>
              <w:jc w:val="both"/>
              <w:rPr>
                <w:rFonts w:ascii="Calibri" w:hAnsi="Calibri"/>
                <w:color w:val="000000" w:themeColor="text1"/>
                <w:sz w:val="22"/>
                <w:szCs w:val="22"/>
                <w:lang w:bidi="en-GB"/>
              </w:rPr>
            </w:pPr>
            <w:r>
              <w:rPr>
                <w:rFonts w:ascii="Calibri" w:hAnsi="Calibri"/>
                <w:color w:val="000000" w:themeColor="text1"/>
                <w:sz w:val="22"/>
                <w:szCs w:val="22"/>
                <w:lang w:bidi="en-GB"/>
              </w:rPr>
              <w:t xml:space="preserve">Eager </w:t>
            </w:r>
            <w:r w:rsidRPr="00287852">
              <w:rPr>
                <w:rFonts w:ascii="Calibri" w:hAnsi="Calibri"/>
                <w:color w:val="000000" w:themeColor="text1"/>
                <w:sz w:val="22"/>
                <w:szCs w:val="22"/>
                <w:lang w:bidi="en-GB"/>
              </w:rPr>
              <w:t>to be innovative and to choose options based on maximising opportunities and potential higher benefit even if those activities carry a very high residual risk.</w:t>
            </w:r>
          </w:p>
        </w:tc>
        <w:tc>
          <w:tcPr>
            <w:tcW w:w="2126" w:type="dxa"/>
          </w:tcPr>
          <w:p w14:paraId="420B9085" w14:textId="7C064782" w:rsidR="00EF5C74" w:rsidRDefault="00677D44" w:rsidP="00BD5F51">
            <w:pPr>
              <w:spacing w:beforeAutospacing="1" w:afterAutospacing="1"/>
              <w:jc w:val="both"/>
              <w:rPr>
                <w:rFonts w:ascii="Calibri" w:hAnsi="Calibri"/>
                <w:color w:val="000000" w:themeColor="text1"/>
                <w:lang w:bidi="en-GB"/>
              </w:rPr>
            </w:pPr>
            <w:r>
              <w:rPr>
                <w:rFonts w:ascii="Calibri" w:hAnsi="Calibri"/>
                <w:color w:val="000000" w:themeColor="text1"/>
                <w:sz w:val="22"/>
                <w:szCs w:val="22"/>
                <w:lang w:bidi="en-GB"/>
              </w:rPr>
              <w:t xml:space="preserve">The University will accept risk with a residual score of </w:t>
            </w:r>
            <w:r w:rsidR="00EF5C74">
              <w:rPr>
                <w:rFonts w:ascii="Calibri" w:hAnsi="Calibri"/>
                <w:color w:val="000000" w:themeColor="text1"/>
                <w:sz w:val="22"/>
                <w:szCs w:val="22"/>
                <w:lang w:bidi="en-GB"/>
              </w:rPr>
              <w:t>20-25</w:t>
            </w:r>
          </w:p>
        </w:tc>
      </w:tr>
    </w:tbl>
    <w:p w14:paraId="0323CC67" w14:textId="77777777" w:rsidR="00DE3E1E" w:rsidRDefault="00DE3E1E" w:rsidP="00F61212">
      <w:pPr>
        <w:spacing w:after="0"/>
        <w:jc w:val="both"/>
        <w:rPr>
          <w:rFonts w:ascii="Calibri" w:hAnsi="Calibri" w:cs="Calibri"/>
          <w:b/>
          <w:bCs/>
        </w:rPr>
      </w:pPr>
    </w:p>
    <w:p w14:paraId="7F7227AA" w14:textId="0F654EEF" w:rsidR="00F61212" w:rsidRDefault="003D3B74" w:rsidP="00F61212">
      <w:pPr>
        <w:spacing w:after="0"/>
        <w:jc w:val="both"/>
        <w:rPr>
          <w:rFonts w:ascii="Calibri" w:hAnsi="Calibri" w:cs="Calibri"/>
          <w:b/>
          <w:bCs/>
        </w:rPr>
      </w:pPr>
      <w:r w:rsidRPr="00903DFA">
        <w:rPr>
          <w:rFonts w:ascii="Calibri" w:hAnsi="Calibri" w:cs="Calibri"/>
          <w:b/>
          <w:bCs/>
        </w:rPr>
        <w:t xml:space="preserve">Risk </w:t>
      </w:r>
      <w:r w:rsidR="00337972">
        <w:rPr>
          <w:rFonts w:ascii="Calibri" w:hAnsi="Calibri" w:cs="Calibri"/>
          <w:b/>
          <w:bCs/>
        </w:rPr>
        <w:t xml:space="preserve">Tolerance and </w:t>
      </w:r>
      <w:r w:rsidR="00E1009E">
        <w:rPr>
          <w:rFonts w:ascii="Calibri" w:hAnsi="Calibri" w:cs="Calibri"/>
          <w:b/>
          <w:bCs/>
        </w:rPr>
        <w:t>Mitigation</w:t>
      </w:r>
    </w:p>
    <w:p w14:paraId="25652271" w14:textId="6965F410" w:rsidR="00337972" w:rsidRDefault="00337972" w:rsidP="0565D864">
      <w:pPr>
        <w:spacing w:after="0"/>
        <w:jc w:val="both"/>
        <w:rPr>
          <w:rFonts w:ascii="Calibri" w:hAnsi="Calibri" w:cs="Calibri"/>
        </w:rPr>
      </w:pPr>
      <w:r w:rsidRPr="0565D864">
        <w:rPr>
          <w:rFonts w:ascii="Calibri" w:hAnsi="Calibri" w:cs="Calibri"/>
        </w:rPr>
        <w:t>R</w:t>
      </w:r>
      <w:r w:rsidR="00AF2CD1" w:rsidRPr="0565D864">
        <w:rPr>
          <w:rFonts w:ascii="Calibri" w:hAnsi="Calibri" w:cs="Calibri"/>
        </w:rPr>
        <w:t xml:space="preserve">isk tolerance is the </w:t>
      </w:r>
      <w:r w:rsidR="003D3B74" w:rsidRPr="0565D864">
        <w:rPr>
          <w:rFonts w:ascii="Calibri" w:hAnsi="Calibri" w:cs="Calibri"/>
        </w:rPr>
        <w:t xml:space="preserve">maximum level of risk the </w:t>
      </w:r>
      <w:r w:rsidR="00021556" w:rsidRPr="0565D864">
        <w:rPr>
          <w:rFonts w:ascii="Calibri" w:hAnsi="Calibri" w:cs="Calibri"/>
        </w:rPr>
        <w:t xml:space="preserve">University </w:t>
      </w:r>
      <w:proofErr w:type="gramStart"/>
      <w:r w:rsidR="00D83502" w:rsidRPr="0565D864">
        <w:rPr>
          <w:rFonts w:ascii="Calibri" w:hAnsi="Calibri" w:cs="Calibri"/>
        </w:rPr>
        <w:t xml:space="preserve">is </w:t>
      </w:r>
      <w:r w:rsidR="007A3491">
        <w:rPr>
          <w:rFonts w:ascii="Calibri" w:hAnsi="Calibri" w:cs="Calibri"/>
        </w:rPr>
        <w:t xml:space="preserve">able </w:t>
      </w:r>
      <w:r w:rsidR="00D83502" w:rsidRPr="0565D864">
        <w:rPr>
          <w:rFonts w:ascii="Calibri" w:hAnsi="Calibri" w:cs="Calibri"/>
        </w:rPr>
        <w:t>to</w:t>
      </w:r>
      <w:proofErr w:type="gramEnd"/>
      <w:r w:rsidR="00D83502" w:rsidRPr="0565D864">
        <w:rPr>
          <w:rFonts w:ascii="Calibri" w:hAnsi="Calibri" w:cs="Calibri"/>
        </w:rPr>
        <w:t xml:space="preserve"> accept </w:t>
      </w:r>
      <w:r w:rsidR="003D3B74" w:rsidRPr="0565D864">
        <w:rPr>
          <w:rFonts w:ascii="Calibri" w:hAnsi="Calibri" w:cs="Calibri"/>
        </w:rPr>
        <w:t>regarding each type of risk</w:t>
      </w:r>
      <w:r w:rsidR="00D83502" w:rsidRPr="0565D864">
        <w:rPr>
          <w:rFonts w:ascii="Calibri" w:hAnsi="Calibri" w:cs="Calibri"/>
        </w:rPr>
        <w:t xml:space="preserve">.  </w:t>
      </w:r>
      <w:r w:rsidR="003D3B74" w:rsidRPr="0565D864">
        <w:rPr>
          <w:rFonts w:ascii="Calibri" w:hAnsi="Calibri" w:cs="Calibri"/>
        </w:rPr>
        <w:t xml:space="preserve">If a risk is </w:t>
      </w:r>
      <w:r w:rsidR="00461406" w:rsidRPr="0565D864">
        <w:rPr>
          <w:rFonts w:ascii="Calibri" w:hAnsi="Calibri" w:cs="Calibri"/>
        </w:rPr>
        <w:t>‘</w:t>
      </w:r>
      <w:r w:rsidR="003D3B74" w:rsidRPr="0565D864">
        <w:rPr>
          <w:rFonts w:ascii="Calibri" w:hAnsi="Calibri" w:cs="Calibri"/>
        </w:rPr>
        <w:t>out of appetite</w:t>
      </w:r>
      <w:r w:rsidR="00461406" w:rsidRPr="0565D864">
        <w:rPr>
          <w:rFonts w:ascii="Calibri" w:hAnsi="Calibri" w:cs="Calibri"/>
        </w:rPr>
        <w:t xml:space="preserve">’, </w:t>
      </w:r>
      <w:r w:rsidR="003D3B74" w:rsidRPr="0565D864">
        <w:rPr>
          <w:rFonts w:ascii="Calibri" w:hAnsi="Calibri" w:cs="Calibri"/>
        </w:rPr>
        <w:t xml:space="preserve">this indicates that close monitoring </w:t>
      </w:r>
      <w:r w:rsidR="001D61BB" w:rsidRPr="0565D864">
        <w:rPr>
          <w:rFonts w:ascii="Calibri" w:hAnsi="Calibri" w:cs="Calibri"/>
        </w:rPr>
        <w:t xml:space="preserve">and </w:t>
      </w:r>
      <w:r w:rsidR="003D3B74" w:rsidRPr="0565D864">
        <w:rPr>
          <w:rFonts w:ascii="Calibri" w:hAnsi="Calibri" w:cs="Calibri"/>
        </w:rPr>
        <w:t>action is required</w:t>
      </w:r>
      <w:r w:rsidR="00A34190" w:rsidRPr="0565D864">
        <w:rPr>
          <w:rFonts w:ascii="Calibri" w:hAnsi="Calibri" w:cs="Calibri"/>
        </w:rPr>
        <w:t xml:space="preserve">. </w:t>
      </w:r>
      <w:r w:rsidR="00903DFA" w:rsidRPr="0565D864">
        <w:rPr>
          <w:rFonts w:ascii="Calibri" w:hAnsi="Calibri" w:cs="Calibri"/>
        </w:rPr>
        <w:t xml:space="preserve"> </w:t>
      </w:r>
      <w:r w:rsidR="4CCF4FF9" w:rsidRPr="0565D864">
        <w:rPr>
          <w:rFonts w:ascii="Calibri" w:hAnsi="Calibri" w:cs="Calibri"/>
        </w:rPr>
        <w:t>These risks must be monitored and escalated appropriately following risk register hierarchy and management arrangements</w:t>
      </w:r>
      <w:r w:rsidR="4CCF4FF9" w:rsidRPr="0565D864">
        <w:rPr>
          <w:rFonts w:ascii="Calibri" w:eastAsia="Calibri" w:hAnsi="Calibri" w:cs="Calibri"/>
          <w:color w:val="000000" w:themeColor="text1"/>
        </w:rPr>
        <w:t xml:space="preserve"> in accordance with the agreed risk appetite and tolerance for that category of risk.</w:t>
      </w:r>
    </w:p>
    <w:p w14:paraId="5B344ECA" w14:textId="19E1EE34" w:rsidR="00E41135" w:rsidRDefault="00E41135" w:rsidP="00E41135">
      <w:pPr>
        <w:spacing w:after="0"/>
        <w:jc w:val="both"/>
        <w:rPr>
          <w:rFonts w:ascii="Calibri" w:hAnsi="Calibri" w:cs="Calibri"/>
          <w:b/>
        </w:rPr>
      </w:pPr>
    </w:p>
    <w:p w14:paraId="0BC129C6" w14:textId="77777777" w:rsidR="00337972" w:rsidRPr="00411AB3" w:rsidRDefault="00337972" w:rsidP="00E41135">
      <w:pPr>
        <w:jc w:val="both"/>
        <w:rPr>
          <w:rFonts w:ascii="Calibri" w:hAnsi="Calibri" w:cs="Calibri"/>
        </w:rPr>
      </w:pPr>
      <w:r w:rsidRPr="00411AB3">
        <w:rPr>
          <w:rFonts w:ascii="Calibri" w:hAnsi="Calibri" w:cs="Calibri"/>
        </w:rPr>
        <w:t xml:space="preserve">Once risks are identified and assessed, appropriate mitigation strategies will be developed to reduce their impact and likelihood.  These strategies may include risk avoidance, risk transfer, risk reduction or acceptance, depending on the nature and severity of the risk. </w:t>
      </w:r>
    </w:p>
    <w:p w14:paraId="7A8AE5BC" w14:textId="77777777" w:rsidR="00E41011" w:rsidRPr="00E41011" w:rsidRDefault="00E41011" w:rsidP="00E41011">
      <w:pPr>
        <w:jc w:val="both"/>
        <w:rPr>
          <w:rFonts w:ascii="Calibri" w:hAnsi="Calibri" w:cs="Calibri"/>
        </w:rPr>
      </w:pPr>
      <w:r w:rsidRPr="00E41011">
        <w:rPr>
          <w:rFonts w:ascii="Calibri" w:hAnsi="Calibri" w:cs="Calibri"/>
        </w:rPr>
        <w:t xml:space="preserve">Appropriate action to manage the risk will include one of the following four options:  </w:t>
      </w:r>
    </w:p>
    <w:p w14:paraId="3D9C5BA0" w14:textId="77777777" w:rsidR="00E41011" w:rsidRPr="00E41011" w:rsidRDefault="00E41011" w:rsidP="00001BAD">
      <w:pPr>
        <w:numPr>
          <w:ilvl w:val="0"/>
          <w:numId w:val="15"/>
        </w:numPr>
        <w:spacing w:after="0" w:line="240" w:lineRule="auto"/>
        <w:ind w:left="567" w:right="521" w:hanging="283"/>
        <w:jc w:val="both"/>
        <w:rPr>
          <w:rFonts w:ascii="Calibri" w:hAnsi="Calibri" w:cs="Calibri"/>
        </w:rPr>
      </w:pPr>
      <w:r w:rsidRPr="00E41011">
        <w:rPr>
          <w:rFonts w:ascii="Calibri" w:hAnsi="Calibri" w:cs="Calibri"/>
          <w:b/>
          <w:bCs/>
        </w:rPr>
        <w:t>Tolerate the risk</w:t>
      </w:r>
      <w:r w:rsidRPr="00E41011">
        <w:rPr>
          <w:rFonts w:ascii="Calibri" w:hAnsi="Calibri" w:cs="Calibri"/>
        </w:rPr>
        <w:t xml:space="preserve"> – this involves accepting the risk without putting in place any controls to manage the risk, as it </w:t>
      </w:r>
      <w:proofErr w:type="gramStart"/>
      <w:r w:rsidRPr="00E41011">
        <w:rPr>
          <w:rFonts w:ascii="Calibri" w:hAnsi="Calibri" w:cs="Calibri"/>
        </w:rPr>
        <w:t>is considered to be</w:t>
      </w:r>
      <w:proofErr w:type="gramEnd"/>
      <w:r w:rsidRPr="00E41011">
        <w:rPr>
          <w:rFonts w:ascii="Calibri" w:hAnsi="Calibri" w:cs="Calibri"/>
        </w:rPr>
        <w:t xml:space="preserve"> of a tolerable level for the University, in line with approved risk appetite. </w:t>
      </w:r>
    </w:p>
    <w:p w14:paraId="3273EC8E" w14:textId="77777777" w:rsidR="00E41011" w:rsidRPr="00E41011" w:rsidRDefault="00E41011" w:rsidP="00001BAD">
      <w:pPr>
        <w:numPr>
          <w:ilvl w:val="0"/>
          <w:numId w:val="14"/>
        </w:numPr>
        <w:spacing w:after="0" w:line="240" w:lineRule="auto"/>
        <w:ind w:left="567" w:right="521" w:hanging="283"/>
        <w:jc w:val="both"/>
        <w:rPr>
          <w:rFonts w:ascii="Calibri" w:hAnsi="Calibri" w:cs="Calibri"/>
        </w:rPr>
      </w:pPr>
      <w:r w:rsidRPr="00E41011">
        <w:rPr>
          <w:rFonts w:ascii="Calibri" w:hAnsi="Calibri" w:cs="Calibri"/>
          <w:b/>
          <w:bCs/>
        </w:rPr>
        <w:t>Treat the risk</w:t>
      </w:r>
      <w:r w:rsidRPr="00E41011">
        <w:rPr>
          <w:rFonts w:ascii="Calibri" w:hAnsi="Calibri" w:cs="Calibri"/>
        </w:rPr>
        <w:t xml:space="preserve"> – this involves accepting the risk but applying relevant control/mitigating action to reduce it to a risk appetite approved by University Court, the governing body. </w:t>
      </w:r>
    </w:p>
    <w:p w14:paraId="2446DEDA" w14:textId="346D1D76" w:rsidR="00E41011" w:rsidRPr="00E41011" w:rsidRDefault="00E41011" w:rsidP="00001BAD">
      <w:pPr>
        <w:numPr>
          <w:ilvl w:val="0"/>
          <w:numId w:val="14"/>
        </w:numPr>
        <w:spacing w:after="0" w:line="240" w:lineRule="auto"/>
        <w:ind w:left="567" w:right="521" w:hanging="283"/>
        <w:jc w:val="both"/>
        <w:rPr>
          <w:rFonts w:ascii="Calibri" w:hAnsi="Calibri" w:cs="Calibri"/>
        </w:rPr>
      </w:pPr>
      <w:r w:rsidRPr="00E41011">
        <w:rPr>
          <w:rFonts w:ascii="Calibri" w:hAnsi="Calibri" w:cs="Calibri"/>
          <w:b/>
          <w:bCs/>
        </w:rPr>
        <w:t>Transfer the risk</w:t>
      </w:r>
      <w:r w:rsidRPr="00E41011">
        <w:rPr>
          <w:rFonts w:ascii="Calibri" w:hAnsi="Calibri" w:cs="Calibri"/>
        </w:rPr>
        <w:t xml:space="preserve"> – this involves handling the risk elsewhere, either totally or in part, such as outsourcing the provision of services or</w:t>
      </w:r>
      <w:r w:rsidR="5E68DEC8" w:rsidRPr="60298F78">
        <w:rPr>
          <w:rFonts w:ascii="Calibri" w:hAnsi="Calibri" w:cs="Calibri"/>
        </w:rPr>
        <w:t xml:space="preserve"> </w:t>
      </w:r>
      <w:r w:rsidRPr="00E41011">
        <w:rPr>
          <w:rFonts w:ascii="Calibri" w:hAnsi="Calibri" w:cs="Calibri"/>
        </w:rPr>
        <w:t>the use of insurance. Please note that the University will retain ultimate and certain levels of responsibility for risk management regardless of whether provision is outsourced elsewhere; and</w:t>
      </w:r>
    </w:p>
    <w:p w14:paraId="4CB4D138" w14:textId="3102CA86" w:rsidR="004C4A65" w:rsidRPr="00510419" w:rsidRDefault="00E41011" w:rsidP="0565D864">
      <w:pPr>
        <w:numPr>
          <w:ilvl w:val="0"/>
          <w:numId w:val="14"/>
        </w:numPr>
        <w:spacing w:after="0" w:line="240" w:lineRule="auto"/>
        <w:ind w:left="567" w:right="521" w:hanging="283"/>
        <w:jc w:val="both"/>
        <w:rPr>
          <w:rFonts w:ascii="Calibri" w:hAnsi="Calibri" w:cs="Calibri"/>
        </w:rPr>
      </w:pPr>
      <w:r w:rsidRPr="00E41011">
        <w:rPr>
          <w:rFonts w:ascii="Calibri" w:hAnsi="Calibri" w:cs="Calibri"/>
          <w:b/>
          <w:bCs/>
        </w:rPr>
        <w:t>Terminate the risk</w:t>
      </w:r>
      <w:r w:rsidRPr="00E41011">
        <w:rPr>
          <w:rFonts w:ascii="Calibri" w:hAnsi="Calibri" w:cs="Calibri"/>
        </w:rPr>
        <w:t xml:space="preserve"> – this involves eliminating the risk entirely by ceasing the activity or changing the strategy of the University. </w:t>
      </w:r>
    </w:p>
    <w:p w14:paraId="421906AB" w14:textId="77777777" w:rsidR="004C4A65" w:rsidRDefault="004C4A65" w:rsidP="0565D864">
      <w:pPr>
        <w:spacing w:after="0" w:line="240" w:lineRule="auto"/>
        <w:ind w:right="521"/>
        <w:jc w:val="both"/>
        <w:rPr>
          <w:rFonts w:ascii="Calibri" w:hAnsi="Calibri" w:cs="Calibri"/>
          <w:b/>
          <w:bCs/>
        </w:rPr>
      </w:pPr>
    </w:p>
    <w:p w14:paraId="004F5800" w14:textId="4FCB3765" w:rsidR="00A21A83" w:rsidRDefault="00E2536A" w:rsidP="0565D864">
      <w:pPr>
        <w:spacing w:after="0" w:line="240" w:lineRule="auto"/>
        <w:ind w:right="521"/>
        <w:jc w:val="both"/>
        <w:rPr>
          <w:rFonts w:ascii="Calibri" w:hAnsi="Calibri" w:cs="Calibri"/>
          <w:b/>
          <w:bCs/>
        </w:rPr>
      </w:pPr>
      <w:r>
        <w:rPr>
          <w:rFonts w:ascii="Calibri" w:hAnsi="Calibri" w:cs="Calibri"/>
          <w:b/>
          <w:bCs/>
        </w:rPr>
        <w:t>Monitoring and Revie</w:t>
      </w:r>
      <w:r w:rsidR="009251AD">
        <w:rPr>
          <w:rFonts w:ascii="Calibri" w:hAnsi="Calibri" w:cs="Calibri"/>
          <w:b/>
          <w:bCs/>
        </w:rPr>
        <w:t>w</w:t>
      </w:r>
    </w:p>
    <w:p w14:paraId="31475C14" w14:textId="24BB589F" w:rsidR="557C4D4D" w:rsidRDefault="557C4D4D" w:rsidP="0565D864">
      <w:pPr>
        <w:spacing w:after="0"/>
        <w:jc w:val="both"/>
        <w:rPr>
          <w:rFonts w:ascii="Calibri" w:eastAsia="Calibri" w:hAnsi="Calibri" w:cs="Calibri"/>
          <w:color w:val="000000" w:themeColor="text1"/>
        </w:rPr>
      </w:pPr>
      <w:r w:rsidRPr="0565D864">
        <w:rPr>
          <w:rFonts w:ascii="Calibri" w:eastAsia="Calibri" w:hAnsi="Calibri" w:cs="Calibri"/>
          <w:color w:val="000000" w:themeColor="text1"/>
        </w:rPr>
        <w:t>The o</w:t>
      </w:r>
      <w:r w:rsidR="08894C4E" w:rsidRPr="0565D864">
        <w:rPr>
          <w:rFonts w:ascii="Calibri" w:eastAsia="Calibri" w:hAnsi="Calibri" w:cs="Calibri"/>
          <w:color w:val="000000" w:themeColor="text1"/>
        </w:rPr>
        <w:t>ngoing management and review of risk is a critical part of the process</w:t>
      </w:r>
      <w:r w:rsidR="353AA090" w:rsidRPr="0565D864">
        <w:rPr>
          <w:rFonts w:ascii="Calibri" w:eastAsia="Calibri" w:hAnsi="Calibri" w:cs="Calibri"/>
          <w:color w:val="000000" w:themeColor="text1"/>
        </w:rPr>
        <w:t xml:space="preserve"> </w:t>
      </w:r>
      <w:r w:rsidR="2F52108B" w:rsidRPr="0565D864">
        <w:rPr>
          <w:rFonts w:ascii="Calibri" w:eastAsia="Calibri" w:hAnsi="Calibri" w:cs="Calibri"/>
          <w:color w:val="000000" w:themeColor="text1"/>
        </w:rPr>
        <w:t xml:space="preserve">as it enables </w:t>
      </w:r>
      <w:r w:rsidR="32C0C3D9" w:rsidRPr="0565D864">
        <w:rPr>
          <w:rFonts w:ascii="Calibri" w:eastAsia="Calibri" w:hAnsi="Calibri" w:cs="Calibri"/>
          <w:color w:val="000000" w:themeColor="text1"/>
        </w:rPr>
        <w:t>a</w:t>
      </w:r>
      <w:r w:rsidR="32C0C3D9" w:rsidRPr="0565D864">
        <w:rPr>
          <w:rFonts w:ascii="Calibri" w:hAnsi="Calibri" w:cs="Calibri"/>
        </w:rPr>
        <w:t>djustments to mitigation strategies necessary to address emerging risks or changing operating conditions</w:t>
      </w:r>
      <w:r w:rsidR="32C0C3D9" w:rsidRPr="00882817">
        <w:rPr>
          <w:rFonts w:ascii="Calibri" w:hAnsi="Calibri" w:cs="Calibri"/>
        </w:rPr>
        <w:t xml:space="preserve">. </w:t>
      </w:r>
      <w:r w:rsidR="395020D4" w:rsidRPr="00882817">
        <w:rPr>
          <w:rFonts w:ascii="Calibri" w:eastAsia="Calibri" w:hAnsi="Calibri" w:cs="Calibri"/>
          <w:color w:val="000000" w:themeColor="text1"/>
        </w:rPr>
        <w:t>It also provides assurance on the overall management of the University’s risk profile</w:t>
      </w:r>
      <w:r w:rsidR="0078274F">
        <w:rPr>
          <w:rFonts w:ascii="Calibri" w:eastAsia="Calibri" w:hAnsi="Calibri" w:cs="Calibri"/>
          <w:color w:val="000000" w:themeColor="text1"/>
        </w:rPr>
        <w:t>.</w:t>
      </w:r>
      <w:r w:rsidR="6ACD6983" w:rsidRPr="0565D864">
        <w:rPr>
          <w:rFonts w:ascii="Calibri" w:eastAsia="Calibri" w:hAnsi="Calibri" w:cs="Calibri"/>
          <w:color w:val="000000" w:themeColor="text1"/>
        </w:rPr>
        <w:t xml:space="preserve"> </w:t>
      </w:r>
    </w:p>
    <w:p w14:paraId="4186281E" w14:textId="68DCC0A3" w:rsidR="08894C4E" w:rsidRDefault="08894C4E" w:rsidP="0565D864">
      <w:pPr>
        <w:spacing w:after="0"/>
        <w:jc w:val="both"/>
        <w:rPr>
          <w:rFonts w:ascii="Calibri" w:eastAsia="Calibri" w:hAnsi="Calibri" w:cs="Calibri"/>
          <w:color w:val="000000" w:themeColor="text1"/>
        </w:rPr>
      </w:pPr>
      <w:r w:rsidRPr="0565D864">
        <w:rPr>
          <w:rFonts w:ascii="Calibri" w:eastAsia="Calibri" w:hAnsi="Calibri" w:cs="Calibri"/>
          <w:color w:val="000000" w:themeColor="text1"/>
        </w:rPr>
        <w:lastRenderedPageBreak/>
        <w:t xml:space="preserve">Required risk review timescales are outlined below: </w:t>
      </w:r>
    </w:p>
    <w:p w14:paraId="70A287D4" w14:textId="14A8F35F" w:rsidR="08894C4E" w:rsidRDefault="08894C4E" w:rsidP="0565D864">
      <w:pPr>
        <w:pStyle w:val="ListParagraph"/>
        <w:numPr>
          <w:ilvl w:val="0"/>
          <w:numId w:val="20"/>
        </w:numPr>
        <w:spacing w:after="0"/>
        <w:jc w:val="both"/>
        <w:rPr>
          <w:rFonts w:ascii="Calibri" w:eastAsia="Calibri" w:hAnsi="Calibri" w:cs="Calibri"/>
          <w:color w:val="000000" w:themeColor="text1"/>
        </w:rPr>
      </w:pPr>
      <w:r w:rsidRPr="0565D864">
        <w:rPr>
          <w:rFonts w:ascii="Calibri" w:eastAsia="Calibri" w:hAnsi="Calibri" w:cs="Calibri"/>
          <w:color w:val="000000" w:themeColor="text1"/>
        </w:rPr>
        <w:t xml:space="preserve">Out of Tolerance or </w:t>
      </w:r>
      <w:r w:rsidR="432FEA57" w:rsidRPr="0565D864">
        <w:rPr>
          <w:rFonts w:ascii="Calibri" w:eastAsia="Calibri" w:hAnsi="Calibri" w:cs="Calibri"/>
          <w:color w:val="000000" w:themeColor="text1"/>
        </w:rPr>
        <w:t>Appetite</w:t>
      </w:r>
      <w:r w:rsidR="14EABF70" w:rsidRPr="0565D864">
        <w:rPr>
          <w:rFonts w:ascii="Calibri" w:eastAsia="Calibri" w:hAnsi="Calibri" w:cs="Calibri"/>
          <w:color w:val="000000" w:themeColor="text1"/>
        </w:rPr>
        <w:t xml:space="preserve"> – </w:t>
      </w:r>
      <w:r w:rsidRPr="0565D864">
        <w:rPr>
          <w:rFonts w:ascii="Calibri" w:eastAsia="Calibri" w:hAnsi="Calibri" w:cs="Calibri"/>
          <w:color w:val="000000" w:themeColor="text1"/>
        </w:rPr>
        <w:t xml:space="preserve">Monthly </w:t>
      </w:r>
    </w:p>
    <w:p w14:paraId="162DC2C3" w14:textId="5CD159C0" w:rsidR="08894C4E" w:rsidRDefault="08894C4E" w:rsidP="0565D864">
      <w:pPr>
        <w:pStyle w:val="ListParagraph"/>
        <w:numPr>
          <w:ilvl w:val="0"/>
          <w:numId w:val="20"/>
        </w:numPr>
        <w:spacing w:after="0"/>
        <w:jc w:val="both"/>
        <w:rPr>
          <w:rFonts w:ascii="Calibri" w:eastAsia="Calibri" w:hAnsi="Calibri" w:cs="Calibri"/>
          <w:color w:val="000000" w:themeColor="text1"/>
        </w:rPr>
      </w:pPr>
      <w:r w:rsidRPr="0565D864">
        <w:rPr>
          <w:rFonts w:ascii="Calibri" w:eastAsia="Calibri" w:hAnsi="Calibri" w:cs="Calibri"/>
          <w:color w:val="000000" w:themeColor="text1"/>
        </w:rPr>
        <w:t>In Appetite or Tolerance</w:t>
      </w:r>
      <w:r w:rsidR="37B17B2A" w:rsidRPr="0565D864">
        <w:rPr>
          <w:rFonts w:ascii="Calibri" w:eastAsia="Calibri" w:hAnsi="Calibri" w:cs="Calibri"/>
          <w:color w:val="000000" w:themeColor="text1"/>
        </w:rPr>
        <w:t xml:space="preserve"> – Quarterly</w:t>
      </w:r>
      <w:r w:rsidRPr="0565D864">
        <w:rPr>
          <w:rFonts w:ascii="Calibri" w:eastAsia="Calibri" w:hAnsi="Calibri" w:cs="Calibri"/>
          <w:color w:val="000000" w:themeColor="text1"/>
        </w:rPr>
        <w:t xml:space="preserve">  </w:t>
      </w:r>
    </w:p>
    <w:p w14:paraId="4CB13EDE" w14:textId="033DE4E1" w:rsidR="0565D864" w:rsidRDefault="0565D864" w:rsidP="0565D864">
      <w:pPr>
        <w:spacing w:after="0"/>
        <w:jc w:val="both"/>
        <w:rPr>
          <w:rFonts w:ascii="Calibri" w:eastAsia="Calibri" w:hAnsi="Calibri" w:cs="Calibri"/>
          <w:color w:val="000000" w:themeColor="text1"/>
        </w:rPr>
      </w:pPr>
    </w:p>
    <w:p w14:paraId="124A39D7" w14:textId="4C6F7D9C" w:rsidR="08894C4E" w:rsidRDefault="08894C4E" w:rsidP="0565D864">
      <w:pPr>
        <w:spacing w:after="0"/>
        <w:jc w:val="both"/>
        <w:rPr>
          <w:rFonts w:ascii="Calibri" w:eastAsia="Calibri" w:hAnsi="Calibri" w:cs="Calibri"/>
          <w:color w:val="000000" w:themeColor="text1"/>
        </w:rPr>
      </w:pPr>
      <w:r w:rsidRPr="0565D864">
        <w:rPr>
          <w:rFonts w:ascii="Calibri" w:eastAsia="Calibri" w:hAnsi="Calibri" w:cs="Calibri"/>
          <w:color w:val="000000" w:themeColor="text1"/>
        </w:rPr>
        <w:t>These are the minimum review timescales</w:t>
      </w:r>
      <w:r w:rsidR="1CD09A7C" w:rsidRPr="0565D864">
        <w:rPr>
          <w:rFonts w:ascii="Calibri" w:eastAsia="Calibri" w:hAnsi="Calibri" w:cs="Calibri"/>
          <w:color w:val="000000" w:themeColor="text1"/>
        </w:rPr>
        <w:t xml:space="preserve">, </w:t>
      </w:r>
      <w:r w:rsidRPr="0565D864">
        <w:rPr>
          <w:rFonts w:ascii="Calibri" w:eastAsia="Calibri" w:hAnsi="Calibri" w:cs="Calibri"/>
          <w:color w:val="000000" w:themeColor="text1"/>
        </w:rPr>
        <w:t xml:space="preserve">if there are changes in the operating environment which could affect the severity of a risk, </w:t>
      </w:r>
      <w:r w:rsidR="52ED38DA" w:rsidRPr="0565D864">
        <w:rPr>
          <w:rFonts w:ascii="Calibri" w:eastAsia="Calibri" w:hAnsi="Calibri" w:cs="Calibri"/>
          <w:color w:val="000000" w:themeColor="text1"/>
        </w:rPr>
        <w:t xml:space="preserve">a </w:t>
      </w:r>
      <w:r w:rsidRPr="0565D864">
        <w:rPr>
          <w:rFonts w:ascii="Calibri" w:eastAsia="Calibri" w:hAnsi="Calibri" w:cs="Calibri"/>
          <w:color w:val="000000" w:themeColor="text1"/>
        </w:rPr>
        <w:t>review</w:t>
      </w:r>
      <w:r w:rsidR="2B074538" w:rsidRPr="0565D864">
        <w:rPr>
          <w:rFonts w:ascii="Calibri" w:eastAsia="Calibri" w:hAnsi="Calibri" w:cs="Calibri"/>
          <w:color w:val="000000" w:themeColor="text1"/>
        </w:rPr>
        <w:t xml:space="preserve"> should be undertaken and </w:t>
      </w:r>
      <w:r w:rsidRPr="0565D864">
        <w:rPr>
          <w:rFonts w:ascii="Calibri" w:eastAsia="Calibri" w:hAnsi="Calibri" w:cs="Calibri"/>
          <w:color w:val="000000" w:themeColor="text1"/>
        </w:rPr>
        <w:t xml:space="preserve">reported more frequently. </w:t>
      </w:r>
    </w:p>
    <w:p w14:paraId="635C320F" w14:textId="6FA26C46" w:rsidR="0565D864" w:rsidRDefault="0565D864" w:rsidP="0565D864">
      <w:pPr>
        <w:spacing w:after="0"/>
        <w:jc w:val="both"/>
        <w:rPr>
          <w:rFonts w:ascii="Calibri" w:eastAsia="Calibri" w:hAnsi="Calibri" w:cs="Calibri"/>
          <w:color w:val="000000" w:themeColor="text1"/>
        </w:rPr>
      </w:pPr>
    </w:p>
    <w:p w14:paraId="5548FE5D" w14:textId="0163B779" w:rsidR="08894C4E" w:rsidRDefault="08894C4E" w:rsidP="0565D864">
      <w:pPr>
        <w:spacing w:after="0"/>
        <w:jc w:val="both"/>
        <w:rPr>
          <w:rFonts w:ascii="Calibri" w:eastAsia="Calibri" w:hAnsi="Calibri" w:cs="Calibri"/>
          <w:color w:val="000000" w:themeColor="text1"/>
        </w:rPr>
      </w:pPr>
      <w:r w:rsidRPr="0565D864">
        <w:rPr>
          <w:rFonts w:ascii="Calibri" w:eastAsia="Calibri" w:hAnsi="Calibri" w:cs="Calibri"/>
          <w:color w:val="000000" w:themeColor="text1"/>
        </w:rPr>
        <w:t>During a risk review, the risk score must be re-assessed</w:t>
      </w:r>
      <w:r w:rsidR="00017BD8">
        <w:rPr>
          <w:rFonts w:ascii="Calibri" w:eastAsia="Calibri" w:hAnsi="Calibri" w:cs="Calibri"/>
          <w:color w:val="000000" w:themeColor="text1"/>
        </w:rPr>
        <w:t xml:space="preserve"> by the risk owner.  </w:t>
      </w:r>
      <w:r w:rsidRPr="0565D864">
        <w:rPr>
          <w:rFonts w:ascii="Calibri" w:eastAsia="Calibri" w:hAnsi="Calibri" w:cs="Calibri"/>
          <w:color w:val="000000" w:themeColor="text1"/>
        </w:rPr>
        <w:t xml:space="preserve">If it is identified that the risk continues to exist, the list of current controls and </w:t>
      </w:r>
      <w:r w:rsidR="7DB3482F" w:rsidRPr="0565D864">
        <w:rPr>
          <w:rFonts w:ascii="Calibri" w:eastAsia="Calibri" w:hAnsi="Calibri" w:cs="Calibri"/>
          <w:color w:val="000000" w:themeColor="text1"/>
        </w:rPr>
        <w:t>action required will be reviewed a</w:t>
      </w:r>
      <w:r w:rsidRPr="0565D864">
        <w:rPr>
          <w:rFonts w:ascii="Calibri" w:eastAsia="Calibri" w:hAnsi="Calibri" w:cs="Calibri"/>
          <w:color w:val="000000" w:themeColor="text1"/>
        </w:rPr>
        <w:t xml:space="preserve">nd </w:t>
      </w:r>
      <w:r w:rsidR="54662137" w:rsidRPr="0565D864">
        <w:rPr>
          <w:rFonts w:ascii="Calibri" w:eastAsia="Calibri" w:hAnsi="Calibri" w:cs="Calibri"/>
          <w:color w:val="000000" w:themeColor="text1"/>
        </w:rPr>
        <w:t>amended as required</w:t>
      </w:r>
      <w:r w:rsidRPr="0565D864">
        <w:rPr>
          <w:rFonts w:ascii="Calibri" w:eastAsia="Calibri" w:hAnsi="Calibri" w:cs="Calibri"/>
          <w:color w:val="000000" w:themeColor="text1"/>
        </w:rPr>
        <w:t xml:space="preserve">. </w:t>
      </w:r>
      <w:r w:rsidR="6102CB6E" w:rsidRPr="0565D864">
        <w:rPr>
          <w:rFonts w:ascii="Calibri" w:eastAsia="Calibri" w:hAnsi="Calibri" w:cs="Calibri"/>
          <w:color w:val="000000" w:themeColor="text1"/>
        </w:rPr>
        <w:t>Based on</w:t>
      </w:r>
      <w:r w:rsidRPr="0565D864">
        <w:rPr>
          <w:rFonts w:ascii="Calibri" w:eastAsia="Calibri" w:hAnsi="Calibri" w:cs="Calibri"/>
          <w:color w:val="000000" w:themeColor="text1"/>
        </w:rPr>
        <w:t xml:space="preserve"> progress with </w:t>
      </w:r>
      <w:r w:rsidR="76EB4574" w:rsidRPr="0565D864">
        <w:rPr>
          <w:rFonts w:ascii="Calibri" w:eastAsia="Calibri" w:hAnsi="Calibri" w:cs="Calibri"/>
          <w:color w:val="000000" w:themeColor="text1"/>
        </w:rPr>
        <w:t xml:space="preserve">actions </w:t>
      </w:r>
      <w:r w:rsidRPr="0565D864">
        <w:rPr>
          <w:rFonts w:ascii="Calibri" w:eastAsia="Calibri" w:hAnsi="Calibri" w:cs="Calibri"/>
          <w:color w:val="000000" w:themeColor="text1"/>
        </w:rPr>
        <w:t xml:space="preserve">and </w:t>
      </w:r>
      <w:r w:rsidR="3CACD827" w:rsidRPr="0565D864">
        <w:rPr>
          <w:rFonts w:ascii="Calibri" w:eastAsia="Calibri" w:hAnsi="Calibri" w:cs="Calibri"/>
          <w:color w:val="000000" w:themeColor="text1"/>
        </w:rPr>
        <w:t xml:space="preserve">the </w:t>
      </w:r>
      <w:r w:rsidRPr="0565D864">
        <w:rPr>
          <w:rFonts w:ascii="Calibri" w:eastAsia="Calibri" w:hAnsi="Calibri" w:cs="Calibri"/>
          <w:color w:val="000000" w:themeColor="text1"/>
        </w:rPr>
        <w:t>assessment of the risk environment (i.e. are there any significant changes to the internal/external context), a re-assessment of the current score</w:t>
      </w:r>
      <w:r w:rsidR="0EB7ED23" w:rsidRPr="0565D864">
        <w:rPr>
          <w:rFonts w:ascii="Calibri" w:eastAsia="Calibri" w:hAnsi="Calibri" w:cs="Calibri"/>
          <w:color w:val="000000" w:themeColor="text1"/>
        </w:rPr>
        <w:t>s</w:t>
      </w:r>
      <w:r w:rsidRPr="0565D864">
        <w:rPr>
          <w:rFonts w:ascii="Calibri" w:eastAsia="Calibri" w:hAnsi="Calibri" w:cs="Calibri"/>
          <w:color w:val="000000" w:themeColor="text1"/>
        </w:rPr>
        <w:t xml:space="preserve"> must be </w:t>
      </w:r>
      <w:r w:rsidR="008832D0">
        <w:rPr>
          <w:rFonts w:ascii="Calibri" w:eastAsia="Calibri" w:hAnsi="Calibri" w:cs="Calibri"/>
          <w:color w:val="000000" w:themeColor="text1"/>
        </w:rPr>
        <w:t xml:space="preserve">undertaken </w:t>
      </w:r>
      <w:r w:rsidRPr="0565D864">
        <w:rPr>
          <w:rFonts w:ascii="Calibri" w:eastAsia="Calibri" w:hAnsi="Calibri" w:cs="Calibri"/>
          <w:color w:val="000000" w:themeColor="text1"/>
        </w:rPr>
        <w:t xml:space="preserve">using the risk assessment matrix. </w:t>
      </w:r>
      <w:r w:rsidR="54A1CC70" w:rsidRPr="0565D864">
        <w:rPr>
          <w:rFonts w:ascii="Calibri" w:eastAsia="Calibri" w:hAnsi="Calibri" w:cs="Calibri"/>
          <w:color w:val="000000" w:themeColor="text1"/>
        </w:rPr>
        <w:t xml:space="preserve"> </w:t>
      </w:r>
      <w:r w:rsidRPr="0565D864">
        <w:rPr>
          <w:rFonts w:ascii="Calibri" w:eastAsia="Calibri" w:hAnsi="Calibri" w:cs="Calibri"/>
          <w:color w:val="000000" w:themeColor="text1"/>
        </w:rPr>
        <w:t xml:space="preserve">This will </w:t>
      </w:r>
      <w:r w:rsidR="00A23CAC" w:rsidRPr="0565D864">
        <w:rPr>
          <w:rFonts w:ascii="Calibri" w:eastAsia="Calibri" w:hAnsi="Calibri" w:cs="Calibri"/>
          <w:color w:val="000000" w:themeColor="text1"/>
        </w:rPr>
        <w:t>determine w</w:t>
      </w:r>
      <w:r w:rsidRPr="0565D864">
        <w:rPr>
          <w:rFonts w:ascii="Calibri" w:eastAsia="Calibri" w:hAnsi="Calibri" w:cs="Calibri"/>
          <w:color w:val="000000" w:themeColor="text1"/>
        </w:rPr>
        <w:t xml:space="preserve">hether the risk is decreasing, increasing or remaining static, and </w:t>
      </w:r>
      <w:r w:rsidR="7D244F1C" w:rsidRPr="0565D864">
        <w:rPr>
          <w:rFonts w:ascii="Calibri" w:eastAsia="Calibri" w:hAnsi="Calibri" w:cs="Calibri"/>
          <w:color w:val="000000" w:themeColor="text1"/>
        </w:rPr>
        <w:t>whether</w:t>
      </w:r>
      <w:r w:rsidRPr="0565D864">
        <w:rPr>
          <w:rFonts w:ascii="Calibri" w:eastAsia="Calibri" w:hAnsi="Calibri" w:cs="Calibri"/>
          <w:color w:val="000000" w:themeColor="text1"/>
        </w:rPr>
        <w:t xml:space="preserve"> the risk requires escalation.</w:t>
      </w:r>
    </w:p>
    <w:p w14:paraId="18490D91" w14:textId="77777777" w:rsidR="00D71DF1" w:rsidRDefault="00D71DF1" w:rsidP="006204B4">
      <w:pPr>
        <w:spacing w:after="0"/>
        <w:jc w:val="both"/>
        <w:rPr>
          <w:rFonts w:ascii="Calibri" w:eastAsia="Calibri" w:hAnsi="Calibri" w:cs="Calibri"/>
          <w:color w:val="000000" w:themeColor="text1"/>
        </w:rPr>
      </w:pPr>
    </w:p>
    <w:p w14:paraId="00FBECD7" w14:textId="4D88E86A" w:rsidR="60298F78" w:rsidRDefault="1867D620" w:rsidP="60298F78">
      <w:pPr>
        <w:jc w:val="both"/>
        <w:rPr>
          <w:rFonts w:ascii="Calibri" w:eastAsia="Calibri" w:hAnsi="Calibri" w:cs="Calibri"/>
          <w:color w:val="000000" w:themeColor="text1"/>
        </w:rPr>
      </w:pPr>
      <w:r w:rsidRPr="0565D864">
        <w:rPr>
          <w:rFonts w:ascii="Calibri" w:eastAsia="Calibri" w:hAnsi="Calibri" w:cs="Calibri"/>
          <w:color w:val="000000" w:themeColor="text1"/>
        </w:rPr>
        <w:t xml:space="preserve">If a current </w:t>
      </w:r>
      <w:r w:rsidR="531476B8" w:rsidRPr="0565D864">
        <w:rPr>
          <w:rFonts w:ascii="Calibri" w:eastAsia="Calibri" w:hAnsi="Calibri" w:cs="Calibri"/>
          <w:color w:val="000000" w:themeColor="text1"/>
        </w:rPr>
        <w:t xml:space="preserve">residual </w:t>
      </w:r>
      <w:r w:rsidRPr="0565D864">
        <w:rPr>
          <w:rFonts w:ascii="Calibri" w:eastAsia="Calibri" w:hAnsi="Calibri" w:cs="Calibri"/>
          <w:color w:val="000000" w:themeColor="text1"/>
        </w:rPr>
        <w:t>risk score is above the agreed risk appetite for that risk category the faculty</w:t>
      </w:r>
      <w:r w:rsidR="66F21261" w:rsidRPr="0565D864">
        <w:rPr>
          <w:rFonts w:ascii="Calibri" w:eastAsia="Calibri" w:hAnsi="Calibri" w:cs="Calibri"/>
          <w:color w:val="000000" w:themeColor="text1"/>
        </w:rPr>
        <w:t>, directorate</w:t>
      </w:r>
      <w:r w:rsidR="77BF0014" w:rsidRPr="0565D864">
        <w:rPr>
          <w:rFonts w:ascii="Calibri" w:eastAsia="Calibri" w:hAnsi="Calibri" w:cs="Calibri"/>
          <w:color w:val="000000" w:themeColor="text1"/>
        </w:rPr>
        <w:t xml:space="preserve"> </w:t>
      </w:r>
      <w:r w:rsidRPr="0565D864">
        <w:rPr>
          <w:rFonts w:ascii="Calibri" w:eastAsia="Calibri" w:hAnsi="Calibri" w:cs="Calibri"/>
          <w:color w:val="000000" w:themeColor="text1"/>
        </w:rPr>
        <w:t xml:space="preserve">or equivalent should closely monitor the risk and undertake corrective action by amending existing controls or applying new controls. If the risk remains </w:t>
      </w:r>
      <w:r w:rsidR="719408BC" w:rsidRPr="0565D864">
        <w:rPr>
          <w:rFonts w:ascii="Calibri" w:eastAsia="Calibri" w:hAnsi="Calibri" w:cs="Calibri"/>
          <w:color w:val="000000" w:themeColor="text1"/>
        </w:rPr>
        <w:t xml:space="preserve">‘out of appetite’ </w:t>
      </w:r>
      <w:r w:rsidRPr="0565D864">
        <w:rPr>
          <w:rFonts w:ascii="Calibri" w:eastAsia="Calibri" w:hAnsi="Calibri" w:cs="Calibri"/>
          <w:color w:val="000000" w:themeColor="text1"/>
        </w:rPr>
        <w:t xml:space="preserve">after 6 months, the risk should be escalated to </w:t>
      </w:r>
      <w:r w:rsidR="0B1F31C9" w:rsidRPr="0565D864">
        <w:rPr>
          <w:rFonts w:ascii="Calibri" w:eastAsia="Calibri" w:hAnsi="Calibri" w:cs="Calibri"/>
          <w:color w:val="000000" w:themeColor="text1"/>
        </w:rPr>
        <w:t xml:space="preserve">a strategic risk </w:t>
      </w:r>
      <w:r w:rsidRPr="0565D864">
        <w:rPr>
          <w:rFonts w:ascii="Calibri" w:eastAsia="Calibri" w:hAnsi="Calibri" w:cs="Calibri"/>
          <w:color w:val="000000" w:themeColor="text1"/>
        </w:rPr>
        <w:t xml:space="preserve">for oversight and direction of mitigating action. If a current </w:t>
      </w:r>
      <w:r w:rsidR="0EAD03DE" w:rsidRPr="0565D864">
        <w:rPr>
          <w:rFonts w:ascii="Calibri" w:eastAsia="Calibri" w:hAnsi="Calibri" w:cs="Calibri"/>
          <w:color w:val="000000" w:themeColor="text1"/>
        </w:rPr>
        <w:t xml:space="preserve">residual </w:t>
      </w:r>
      <w:r w:rsidRPr="0565D864">
        <w:rPr>
          <w:rFonts w:ascii="Calibri" w:eastAsia="Calibri" w:hAnsi="Calibri" w:cs="Calibri"/>
          <w:color w:val="000000" w:themeColor="text1"/>
        </w:rPr>
        <w:t xml:space="preserve">score </w:t>
      </w:r>
      <w:r w:rsidR="316858A5" w:rsidRPr="0565D864">
        <w:rPr>
          <w:rFonts w:ascii="Calibri" w:eastAsia="Calibri" w:hAnsi="Calibri" w:cs="Calibri"/>
          <w:color w:val="000000" w:themeColor="text1"/>
        </w:rPr>
        <w:t xml:space="preserve">significantly </w:t>
      </w:r>
      <w:r w:rsidRPr="0565D864">
        <w:rPr>
          <w:rFonts w:ascii="Calibri" w:eastAsia="Calibri" w:hAnsi="Calibri" w:cs="Calibri"/>
          <w:color w:val="000000" w:themeColor="text1"/>
        </w:rPr>
        <w:t xml:space="preserve">exceeds </w:t>
      </w:r>
      <w:r w:rsidR="42D9C403" w:rsidRPr="0565D864">
        <w:rPr>
          <w:rFonts w:ascii="Calibri" w:eastAsia="Calibri" w:hAnsi="Calibri" w:cs="Calibri"/>
          <w:color w:val="000000" w:themeColor="text1"/>
        </w:rPr>
        <w:t xml:space="preserve">the agreed risk </w:t>
      </w:r>
      <w:r w:rsidRPr="0565D864">
        <w:rPr>
          <w:rFonts w:ascii="Calibri" w:eastAsia="Calibri" w:hAnsi="Calibri" w:cs="Calibri"/>
          <w:color w:val="000000" w:themeColor="text1"/>
        </w:rPr>
        <w:t xml:space="preserve">appetite tolerance, it should be escalated to </w:t>
      </w:r>
      <w:r w:rsidR="77DA9BB9" w:rsidRPr="0565D864">
        <w:rPr>
          <w:rFonts w:ascii="Calibri" w:eastAsia="Calibri" w:hAnsi="Calibri" w:cs="Calibri"/>
          <w:color w:val="000000" w:themeColor="text1"/>
        </w:rPr>
        <w:t xml:space="preserve">as a strategic risk </w:t>
      </w:r>
      <w:r w:rsidR="76C7A50B" w:rsidRPr="0565D864">
        <w:rPr>
          <w:rFonts w:ascii="Calibri" w:eastAsia="Calibri" w:hAnsi="Calibri" w:cs="Calibri"/>
          <w:color w:val="000000" w:themeColor="text1"/>
        </w:rPr>
        <w:t xml:space="preserve">immediately </w:t>
      </w:r>
      <w:r w:rsidRPr="0565D864">
        <w:rPr>
          <w:rFonts w:ascii="Calibri" w:eastAsia="Calibri" w:hAnsi="Calibri" w:cs="Calibri"/>
          <w:color w:val="000000" w:themeColor="text1"/>
        </w:rPr>
        <w:t>for enhanced oversight and direction of action.</w:t>
      </w:r>
    </w:p>
    <w:p w14:paraId="74A5BE8B" w14:textId="66FAE22E" w:rsidR="00804614" w:rsidRPr="001C1327" w:rsidRDefault="005B48D1" w:rsidP="00EC6F03">
      <w:pPr>
        <w:spacing w:after="0"/>
        <w:jc w:val="both"/>
        <w:rPr>
          <w:rFonts w:ascii="Calibri" w:hAnsi="Calibri" w:cs="Calibri"/>
          <w:b/>
          <w:bCs/>
        </w:rPr>
      </w:pPr>
      <w:r w:rsidRPr="001C1327">
        <w:rPr>
          <w:rFonts w:ascii="Calibri" w:hAnsi="Calibri" w:cs="Calibri"/>
          <w:b/>
          <w:bCs/>
        </w:rPr>
        <w:t xml:space="preserve">Communication and Reporting  </w:t>
      </w:r>
    </w:p>
    <w:p w14:paraId="3917F6CA" w14:textId="016953BB" w:rsidR="60298F78" w:rsidRDefault="000A5F70" w:rsidP="60298F78">
      <w:pPr>
        <w:jc w:val="both"/>
        <w:rPr>
          <w:rFonts w:ascii="Calibri" w:hAnsi="Calibri" w:cs="Calibri"/>
        </w:rPr>
      </w:pPr>
      <w:r w:rsidRPr="009902DE">
        <w:rPr>
          <w:rFonts w:ascii="Calibri" w:hAnsi="Calibri" w:cs="Calibri"/>
        </w:rPr>
        <w:t>Cl</w:t>
      </w:r>
      <w:r w:rsidR="005909F4" w:rsidRPr="009902DE">
        <w:rPr>
          <w:rFonts w:ascii="Calibri" w:hAnsi="Calibri" w:cs="Calibri"/>
        </w:rPr>
        <w:t xml:space="preserve">ear </w:t>
      </w:r>
      <w:r w:rsidR="0077776C" w:rsidRPr="009902DE">
        <w:rPr>
          <w:rFonts w:ascii="Calibri" w:hAnsi="Calibri" w:cs="Calibri"/>
        </w:rPr>
        <w:t>communication</w:t>
      </w:r>
      <w:r w:rsidR="009D453C" w:rsidRPr="009902DE">
        <w:rPr>
          <w:rFonts w:ascii="Calibri" w:hAnsi="Calibri" w:cs="Calibri"/>
        </w:rPr>
        <w:t xml:space="preserve"> and </w:t>
      </w:r>
      <w:r w:rsidR="005909F4" w:rsidRPr="009902DE">
        <w:rPr>
          <w:rFonts w:ascii="Calibri" w:hAnsi="Calibri" w:cs="Calibri"/>
        </w:rPr>
        <w:t>reporting</w:t>
      </w:r>
      <w:r w:rsidRPr="009902DE">
        <w:rPr>
          <w:rFonts w:ascii="Calibri" w:hAnsi="Calibri" w:cs="Calibri"/>
        </w:rPr>
        <w:t xml:space="preserve"> channels </w:t>
      </w:r>
      <w:r w:rsidR="009D453C" w:rsidRPr="009902DE">
        <w:rPr>
          <w:rFonts w:ascii="Calibri" w:hAnsi="Calibri" w:cs="Calibri"/>
        </w:rPr>
        <w:t xml:space="preserve">have </w:t>
      </w:r>
      <w:r w:rsidRPr="009902DE">
        <w:rPr>
          <w:rFonts w:ascii="Calibri" w:hAnsi="Calibri" w:cs="Calibri"/>
        </w:rPr>
        <w:t>be</w:t>
      </w:r>
      <w:r w:rsidR="009D453C" w:rsidRPr="009902DE">
        <w:rPr>
          <w:rFonts w:ascii="Calibri" w:hAnsi="Calibri" w:cs="Calibri"/>
        </w:rPr>
        <w:t xml:space="preserve">en </w:t>
      </w:r>
      <w:r w:rsidRPr="009902DE">
        <w:rPr>
          <w:rFonts w:ascii="Calibri" w:hAnsi="Calibri" w:cs="Calibri"/>
        </w:rPr>
        <w:t xml:space="preserve">established to facilitate </w:t>
      </w:r>
      <w:r w:rsidR="001F10ED" w:rsidRPr="009902DE">
        <w:rPr>
          <w:rFonts w:ascii="Calibri" w:hAnsi="Calibri" w:cs="Calibri"/>
        </w:rPr>
        <w:t>the sharing of risk-related information and update across all levels of the University</w:t>
      </w:r>
      <w:r w:rsidR="00DD6DEE" w:rsidRPr="009902DE">
        <w:rPr>
          <w:rFonts w:ascii="Calibri" w:hAnsi="Calibri" w:cs="Calibri"/>
        </w:rPr>
        <w:t xml:space="preserve">. Regular reports on risk management </w:t>
      </w:r>
      <w:r w:rsidR="0077776C" w:rsidRPr="009902DE">
        <w:rPr>
          <w:rFonts w:ascii="Calibri" w:hAnsi="Calibri" w:cs="Calibri"/>
        </w:rPr>
        <w:t>and r</w:t>
      </w:r>
      <w:r w:rsidR="00DD6DEE" w:rsidRPr="009902DE">
        <w:rPr>
          <w:rFonts w:ascii="Calibri" w:hAnsi="Calibri" w:cs="Calibri"/>
        </w:rPr>
        <w:t xml:space="preserve">isk management activity </w:t>
      </w:r>
      <w:r w:rsidR="33CC67BB" w:rsidRPr="60298F78">
        <w:rPr>
          <w:rFonts w:ascii="Calibri" w:hAnsi="Calibri" w:cs="Calibri"/>
        </w:rPr>
        <w:t>are</w:t>
      </w:r>
      <w:r w:rsidR="00DD6DEE" w:rsidRPr="009902DE">
        <w:rPr>
          <w:rFonts w:ascii="Calibri" w:hAnsi="Calibri" w:cs="Calibri"/>
        </w:rPr>
        <w:t xml:space="preserve"> provided to </w:t>
      </w:r>
      <w:r w:rsidR="00034877" w:rsidRPr="009902DE">
        <w:rPr>
          <w:rFonts w:ascii="Calibri" w:hAnsi="Calibri" w:cs="Calibri"/>
        </w:rPr>
        <w:t xml:space="preserve">University Strategy and Policy Group (USPG) </w:t>
      </w:r>
      <w:r w:rsidR="00DD6DEE" w:rsidRPr="009902DE">
        <w:rPr>
          <w:rFonts w:ascii="Calibri" w:hAnsi="Calibri" w:cs="Calibri"/>
        </w:rPr>
        <w:t xml:space="preserve">and </w:t>
      </w:r>
      <w:r w:rsidR="005909F4" w:rsidRPr="009902DE">
        <w:rPr>
          <w:rFonts w:ascii="Calibri" w:hAnsi="Calibri" w:cs="Calibri"/>
        </w:rPr>
        <w:t>relevant governance committees</w:t>
      </w:r>
      <w:r w:rsidR="006E59B6" w:rsidRPr="009902DE">
        <w:rPr>
          <w:rFonts w:ascii="Calibri" w:hAnsi="Calibri" w:cs="Calibri"/>
        </w:rPr>
        <w:t xml:space="preserve">, and University Court </w:t>
      </w:r>
      <w:r w:rsidR="003E6D56" w:rsidRPr="009902DE">
        <w:rPr>
          <w:rFonts w:ascii="Calibri" w:hAnsi="Calibri" w:cs="Calibri"/>
        </w:rPr>
        <w:t>as required.</w:t>
      </w:r>
      <w:r w:rsidR="005909F4" w:rsidRPr="006E59B6">
        <w:rPr>
          <w:rFonts w:ascii="Calibri" w:hAnsi="Calibri" w:cs="Calibri"/>
        </w:rPr>
        <w:t xml:space="preserve"> </w:t>
      </w:r>
    </w:p>
    <w:p w14:paraId="7F298663" w14:textId="2E24BDE1" w:rsidR="00F25874" w:rsidRPr="00F25874" w:rsidRDefault="00F25874" w:rsidP="00EC6F03">
      <w:pPr>
        <w:spacing w:after="0"/>
        <w:rPr>
          <w:rFonts w:ascii="Calibri" w:hAnsi="Calibri" w:cs="Calibri"/>
        </w:rPr>
      </w:pPr>
      <w:r w:rsidRPr="00F25874">
        <w:rPr>
          <w:rFonts w:ascii="Calibri" w:hAnsi="Calibri" w:cs="Calibri"/>
          <w:b/>
          <w:bCs/>
        </w:rPr>
        <w:t xml:space="preserve">Relevant </w:t>
      </w:r>
      <w:r w:rsidRPr="00D71C59">
        <w:rPr>
          <w:rFonts w:ascii="Calibri" w:hAnsi="Calibri" w:cs="Calibri"/>
          <w:b/>
          <w:bCs/>
        </w:rPr>
        <w:t>Legislation </w:t>
      </w:r>
      <w:r w:rsidR="00D71C59" w:rsidRPr="00D71C59">
        <w:rPr>
          <w:rFonts w:ascii="Calibri" w:hAnsi="Calibri" w:cs="Calibri"/>
          <w:b/>
          <w:bCs/>
        </w:rPr>
        <w:t>and Regulation</w:t>
      </w:r>
      <w:r w:rsidR="00D71C59">
        <w:rPr>
          <w:rFonts w:ascii="Calibri" w:hAnsi="Calibri" w:cs="Calibri"/>
        </w:rPr>
        <w:t xml:space="preserve"> </w:t>
      </w:r>
      <w:r w:rsidRPr="00F25874">
        <w:rPr>
          <w:rFonts w:ascii="Calibri" w:hAnsi="Calibri" w:cs="Calibri"/>
        </w:rPr>
        <w:t> </w:t>
      </w:r>
    </w:p>
    <w:p w14:paraId="27772979" w14:textId="5227565D" w:rsidR="00540103" w:rsidRPr="00D71DF1" w:rsidRDefault="00253834" w:rsidP="00D71DF1">
      <w:pPr>
        <w:jc w:val="both"/>
        <w:rPr>
          <w:rFonts w:ascii="Calibri" w:hAnsi="Calibri" w:cs="Calibri"/>
        </w:rPr>
      </w:pPr>
      <w:r w:rsidRPr="00253834">
        <w:rPr>
          <w:rFonts w:ascii="Calibri" w:hAnsi="Calibri" w:cs="Calibri"/>
        </w:rPr>
        <w:t xml:space="preserve">The University is required to comply with the provisions of the Scottish Funding Council’s (SFC’s) Financial Memorandum with Higher Education Institutions. </w:t>
      </w:r>
      <w:r w:rsidRPr="60298F78">
        <w:rPr>
          <w:rFonts w:ascii="Calibri" w:hAnsi="Calibri" w:cs="Calibri"/>
        </w:rPr>
        <w:t> The</w:t>
      </w:r>
      <w:r w:rsidRPr="00253834">
        <w:rPr>
          <w:rFonts w:ascii="Calibri" w:hAnsi="Calibri" w:cs="Calibri"/>
        </w:rPr>
        <w:t xml:space="preserve"> </w:t>
      </w:r>
      <w:r w:rsidR="0210A1FF" w:rsidRPr="60298F78">
        <w:rPr>
          <w:rFonts w:ascii="Calibri" w:hAnsi="Calibri" w:cs="Calibri"/>
        </w:rPr>
        <w:t>M</w:t>
      </w:r>
      <w:r w:rsidRPr="60298F78">
        <w:rPr>
          <w:rFonts w:ascii="Calibri" w:hAnsi="Calibri" w:cs="Calibri"/>
        </w:rPr>
        <w:t>emorandum</w:t>
      </w:r>
      <w:r w:rsidRPr="00253834">
        <w:rPr>
          <w:rFonts w:ascii="Calibri" w:hAnsi="Calibri" w:cs="Calibri"/>
        </w:rPr>
        <w:t xml:space="preserve"> requires the governing body, University Court, to comply with the principles of good governance set out in the Scottish Code of Good Higher Education Governance. </w:t>
      </w:r>
      <w:r w:rsidR="009B2F0D" w:rsidRPr="60298F78">
        <w:rPr>
          <w:rFonts w:ascii="Calibri" w:hAnsi="Calibri" w:cs="Calibri"/>
        </w:rPr>
        <w:t>The Code</w:t>
      </w:r>
      <w:r w:rsidR="009B2F0D" w:rsidRPr="009B2F0D">
        <w:rPr>
          <w:rFonts w:ascii="Calibri" w:hAnsi="Calibri" w:cs="Calibri"/>
        </w:rPr>
        <w:t xml:space="preserve"> is a framework for good governance that sets out principles and standards including the recommendation that</w:t>
      </w:r>
      <w:r w:rsidR="001362CF" w:rsidRPr="001362CF">
        <w:t xml:space="preserve"> </w:t>
      </w:r>
      <w:r w:rsidR="001362CF">
        <w:t xml:space="preserve">the governing body must be attentive to risks which could threaten the sustainability of the </w:t>
      </w:r>
      <w:r w:rsidR="00DD5177">
        <w:t>institution and</w:t>
      </w:r>
      <w:r w:rsidR="001362CF">
        <w:t xml:space="preserve"> ensure that the institution has appropriate procedures to identify and actively manage risk. The governing body needs to understand the external environment in which the institution operates and the strategic risks and opportunities it faces. </w:t>
      </w:r>
      <w:r w:rsidR="00F11769">
        <w:t xml:space="preserve">The University </w:t>
      </w:r>
      <w:r w:rsidR="001362CF">
        <w:t xml:space="preserve">should maintain a risk register and </w:t>
      </w:r>
      <w:r w:rsidR="008140ED">
        <w:t>is</w:t>
      </w:r>
      <w:r w:rsidR="001362CF">
        <w:t xml:space="preserve"> expected to provide a description of the principal risks and uncertainties being faced, including risk management arrangements, in their annual audited financial statements</w:t>
      </w:r>
      <w:r w:rsidR="005314E6">
        <w:t>.</w:t>
      </w:r>
    </w:p>
    <w:p w14:paraId="318E3A2A" w14:textId="77777777" w:rsidR="00851FAB" w:rsidRDefault="00851FAB" w:rsidP="00F25874">
      <w:pPr>
        <w:rPr>
          <w:rFonts w:ascii="Calibri" w:hAnsi="Calibri" w:cs="Calibri"/>
          <w:b/>
          <w:bCs/>
        </w:rPr>
      </w:pPr>
    </w:p>
    <w:p w14:paraId="77683561" w14:textId="3B1BB8D3" w:rsidR="004202C8" w:rsidRDefault="00851FAB" w:rsidP="00851FAB">
      <w:pPr>
        <w:spacing w:after="0"/>
        <w:rPr>
          <w:rFonts w:ascii="Calibri" w:hAnsi="Calibri" w:cs="Calibri"/>
          <w:b/>
          <w:bCs/>
        </w:rPr>
      </w:pPr>
      <w:r>
        <w:rPr>
          <w:rFonts w:ascii="Calibri" w:hAnsi="Calibri" w:cs="Calibri"/>
          <w:b/>
          <w:bCs/>
        </w:rPr>
        <w:t xml:space="preserve">Approved by University Court </w:t>
      </w:r>
    </w:p>
    <w:p w14:paraId="69C88AA8" w14:textId="3E4012BD" w:rsidR="00851FAB" w:rsidRDefault="00851FAB" w:rsidP="00F25874">
      <w:pPr>
        <w:rPr>
          <w:rFonts w:ascii="Calibri" w:hAnsi="Calibri" w:cs="Calibri"/>
          <w:b/>
          <w:bCs/>
        </w:rPr>
      </w:pPr>
      <w:r>
        <w:rPr>
          <w:rFonts w:ascii="Calibri" w:hAnsi="Calibri" w:cs="Calibri"/>
          <w:b/>
          <w:bCs/>
        </w:rPr>
        <w:t xml:space="preserve">December 2024 </w:t>
      </w:r>
    </w:p>
    <w:p w14:paraId="0F4D64B3" w14:textId="77777777" w:rsidR="009309FC" w:rsidRDefault="009309FC" w:rsidP="00A92E5F">
      <w:pPr>
        <w:rPr>
          <w:rFonts w:ascii="Calibri" w:hAnsi="Calibri" w:cs="Calibri"/>
        </w:rPr>
      </w:pPr>
    </w:p>
    <w:sectPr w:rsidR="009309FC" w:rsidSect="004202C8">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3D76D" w14:textId="77777777" w:rsidR="00544147" w:rsidRDefault="00544147" w:rsidP="00DF15F6">
      <w:pPr>
        <w:spacing w:after="0" w:line="240" w:lineRule="auto"/>
      </w:pPr>
      <w:r>
        <w:separator/>
      </w:r>
    </w:p>
  </w:endnote>
  <w:endnote w:type="continuationSeparator" w:id="0">
    <w:p w14:paraId="01A7BD8B" w14:textId="77777777" w:rsidR="00544147" w:rsidRDefault="00544147" w:rsidP="00DF15F6">
      <w:pPr>
        <w:spacing w:after="0" w:line="240" w:lineRule="auto"/>
      </w:pPr>
      <w:r>
        <w:continuationSeparator/>
      </w:r>
    </w:p>
  </w:endnote>
  <w:endnote w:type="continuationNotice" w:id="1">
    <w:p w14:paraId="17644999" w14:textId="77777777" w:rsidR="00544147" w:rsidRDefault="005441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056650"/>
      <w:docPartObj>
        <w:docPartGallery w:val="Page Numbers (Bottom of Page)"/>
        <w:docPartUnique/>
      </w:docPartObj>
    </w:sdtPr>
    <w:sdtEndPr>
      <w:rPr>
        <w:rFonts w:ascii="Calibri" w:hAnsi="Calibri" w:cs="Calibri"/>
        <w:noProof/>
      </w:rPr>
    </w:sdtEndPr>
    <w:sdtContent>
      <w:p w14:paraId="0DF272EC" w14:textId="1988C194" w:rsidR="00DF15F6" w:rsidRPr="00DF15F6" w:rsidRDefault="00DF15F6">
        <w:pPr>
          <w:pStyle w:val="Footer"/>
          <w:jc w:val="right"/>
          <w:rPr>
            <w:rFonts w:ascii="Calibri" w:hAnsi="Calibri" w:cs="Calibri"/>
          </w:rPr>
        </w:pPr>
        <w:r w:rsidRPr="00DF15F6">
          <w:rPr>
            <w:rFonts w:ascii="Calibri" w:hAnsi="Calibri" w:cs="Calibri"/>
          </w:rPr>
          <w:fldChar w:fldCharType="begin"/>
        </w:r>
        <w:r w:rsidRPr="00DF15F6">
          <w:rPr>
            <w:rFonts w:ascii="Calibri" w:hAnsi="Calibri" w:cs="Calibri"/>
          </w:rPr>
          <w:instrText xml:space="preserve"> PAGE   \* MERGEFORMAT </w:instrText>
        </w:r>
        <w:r w:rsidRPr="00DF15F6">
          <w:rPr>
            <w:rFonts w:ascii="Calibri" w:hAnsi="Calibri" w:cs="Calibri"/>
          </w:rPr>
          <w:fldChar w:fldCharType="separate"/>
        </w:r>
        <w:r w:rsidRPr="00DF15F6">
          <w:rPr>
            <w:rFonts w:ascii="Calibri" w:hAnsi="Calibri" w:cs="Calibri"/>
            <w:noProof/>
          </w:rPr>
          <w:t>2</w:t>
        </w:r>
        <w:r w:rsidRPr="00DF15F6">
          <w:rPr>
            <w:rFonts w:ascii="Calibri" w:hAnsi="Calibri" w:cs="Calibri"/>
            <w:noProof/>
          </w:rPr>
          <w:fldChar w:fldCharType="end"/>
        </w:r>
      </w:p>
    </w:sdtContent>
  </w:sdt>
  <w:p w14:paraId="496F24D7" w14:textId="77777777" w:rsidR="00DF15F6" w:rsidRDefault="00DF1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94C2C" w14:textId="77777777" w:rsidR="00544147" w:rsidRDefault="00544147" w:rsidP="00DF15F6">
      <w:pPr>
        <w:spacing w:after="0" w:line="240" w:lineRule="auto"/>
      </w:pPr>
      <w:r>
        <w:separator/>
      </w:r>
    </w:p>
  </w:footnote>
  <w:footnote w:type="continuationSeparator" w:id="0">
    <w:p w14:paraId="3964E70E" w14:textId="77777777" w:rsidR="00544147" w:rsidRDefault="00544147" w:rsidP="00DF15F6">
      <w:pPr>
        <w:spacing w:after="0" w:line="240" w:lineRule="auto"/>
      </w:pPr>
      <w:r>
        <w:continuationSeparator/>
      </w:r>
    </w:p>
  </w:footnote>
  <w:footnote w:type="continuationNotice" w:id="1">
    <w:p w14:paraId="0C8E5E75" w14:textId="77777777" w:rsidR="00544147" w:rsidRDefault="005441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24B5" w14:textId="47A7A7A3" w:rsidR="6ECB8FE6" w:rsidRPr="00665E5A" w:rsidRDefault="150F7606" w:rsidP="6ECB8FE6">
    <w:pPr>
      <w:pStyle w:val="Header"/>
      <w:rPr>
        <w:rFonts w:ascii="Calibri" w:hAnsi="Calibri" w:cs="Calibri"/>
      </w:rPr>
    </w:pPr>
    <w:r>
      <w:t xml:space="preserve"> </w:t>
    </w:r>
    <w:r w:rsidR="001933DF">
      <w:tab/>
    </w:r>
    <w:r w:rsidR="001933DF">
      <w:tab/>
    </w:r>
    <w:r w:rsidRPr="00665E5A">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7857"/>
    <w:multiLevelType w:val="hybridMultilevel"/>
    <w:tmpl w:val="CFF4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15F40"/>
    <w:multiLevelType w:val="hybridMultilevel"/>
    <w:tmpl w:val="AFE0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E4C2F"/>
    <w:multiLevelType w:val="multilevel"/>
    <w:tmpl w:val="B702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EA73EA"/>
    <w:multiLevelType w:val="multilevel"/>
    <w:tmpl w:val="66F2D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269F1"/>
    <w:multiLevelType w:val="hybridMultilevel"/>
    <w:tmpl w:val="3FC025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74B83"/>
    <w:multiLevelType w:val="hybridMultilevel"/>
    <w:tmpl w:val="4EDE1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B44E9"/>
    <w:multiLevelType w:val="hybridMultilevel"/>
    <w:tmpl w:val="A59E2D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245DC"/>
    <w:multiLevelType w:val="hybridMultilevel"/>
    <w:tmpl w:val="750E0F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34F3F"/>
    <w:multiLevelType w:val="hybridMultilevel"/>
    <w:tmpl w:val="B4B636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1477B"/>
    <w:multiLevelType w:val="hybridMultilevel"/>
    <w:tmpl w:val="FF60A3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2BA3534D"/>
    <w:multiLevelType w:val="hybridMultilevel"/>
    <w:tmpl w:val="E4460E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49777D"/>
    <w:multiLevelType w:val="multilevel"/>
    <w:tmpl w:val="6EB2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5246B8"/>
    <w:multiLevelType w:val="multilevel"/>
    <w:tmpl w:val="6B26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728EF"/>
    <w:multiLevelType w:val="hybridMultilevel"/>
    <w:tmpl w:val="4572B310"/>
    <w:lvl w:ilvl="0" w:tplc="9EE64916">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4" w15:restartNumberingAfterBreak="0">
    <w:nsid w:val="51B37678"/>
    <w:multiLevelType w:val="hybridMultilevel"/>
    <w:tmpl w:val="54FE10A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7E66DBD"/>
    <w:multiLevelType w:val="hybridMultilevel"/>
    <w:tmpl w:val="684A5C0C"/>
    <w:lvl w:ilvl="0" w:tplc="EE9A2694">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39FCD9"/>
    <w:multiLevelType w:val="hybridMultilevel"/>
    <w:tmpl w:val="38A8FE78"/>
    <w:lvl w:ilvl="0" w:tplc="D5A6F5A6">
      <w:start w:val="1"/>
      <w:numFmt w:val="bullet"/>
      <w:lvlText w:val=""/>
      <w:lvlJc w:val="left"/>
      <w:pPr>
        <w:ind w:left="720" w:hanging="360"/>
      </w:pPr>
      <w:rPr>
        <w:rFonts w:ascii="Wingdings" w:hAnsi="Wingdings" w:hint="default"/>
      </w:rPr>
    </w:lvl>
    <w:lvl w:ilvl="1" w:tplc="6A2A6E3A">
      <w:start w:val="1"/>
      <w:numFmt w:val="bullet"/>
      <w:lvlText w:val="o"/>
      <w:lvlJc w:val="left"/>
      <w:pPr>
        <w:ind w:left="1440" w:hanging="360"/>
      </w:pPr>
      <w:rPr>
        <w:rFonts w:ascii="Courier New" w:hAnsi="Courier New" w:hint="default"/>
      </w:rPr>
    </w:lvl>
    <w:lvl w:ilvl="2" w:tplc="3C5AAB6C">
      <w:start w:val="1"/>
      <w:numFmt w:val="bullet"/>
      <w:lvlText w:val=""/>
      <w:lvlJc w:val="left"/>
      <w:pPr>
        <w:ind w:left="2160" w:hanging="360"/>
      </w:pPr>
      <w:rPr>
        <w:rFonts w:ascii="Wingdings" w:hAnsi="Wingdings" w:hint="default"/>
      </w:rPr>
    </w:lvl>
    <w:lvl w:ilvl="3" w:tplc="F2449DE0">
      <w:start w:val="1"/>
      <w:numFmt w:val="bullet"/>
      <w:lvlText w:val=""/>
      <w:lvlJc w:val="left"/>
      <w:pPr>
        <w:ind w:left="2880" w:hanging="360"/>
      </w:pPr>
      <w:rPr>
        <w:rFonts w:ascii="Symbol" w:hAnsi="Symbol" w:hint="default"/>
      </w:rPr>
    </w:lvl>
    <w:lvl w:ilvl="4" w:tplc="0BDA2040">
      <w:start w:val="1"/>
      <w:numFmt w:val="bullet"/>
      <w:lvlText w:val="o"/>
      <w:lvlJc w:val="left"/>
      <w:pPr>
        <w:ind w:left="3600" w:hanging="360"/>
      </w:pPr>
      <w:rPr>
        <w:rFonts w:ascii="Courier New" w:hAnsi="Courier New" w:hint="default"/>
      </w:rPr>
    </w:lvl>
    <w:lvl w:ilvl="5" w:tplc="9C2008DC">
      <w:start w:val="1"/>
      <w:numFmt w:val="bullet"/>
      <w:lvlText w:val=""/>
      <w:lvlJc w:val="left"/>
      <w:pPr>
        <w:ind w:left="4320" w:hanging="360"/>
      </w:pPr>
      <w:rPr>
        <w:rFonts w:ascii="Wingdings" w:hAnsi="Wingdings" w:hint="default"/>
      </w:rPr>
    </w:lvl>
    <w:lvl w:ilvl="6" w:tplc="51C44800">
      <w:start w:val="1"/>
      <w:numFmt w:val="bullet"/>
      <w:lvlText w:val=""/>
      <w:lvlJc w:val="left"/>
      <w:pPr>
        <w:ind w:left="5040" w:hanging="360"/>
      </w:pPr>
      <w:rPr>
        <w:rFonts w:ascii="Symbol" w:hAnsi="Symbol" w:hint="default"/>
      </w:rPr>
    </w:lvl>
    <w:lvl w:ilvl="7" w:tplc="9FFCEEA0">
      <w:start w:val="1"/>
      <w:numFmt w:val="bullet"/>
      <w:lvlText w:val="o"/>
      <w:lvlJc w:val="left"/>
      <w:pPr>
        <w:ind w:left="5760" w:hanging="360"/>
      </w:pPr>
      <w:rPr>
        <w:rFonts w:ascii="Courier New" w:hAnsi="Courier New" w:hint="default"/>
      </w:rPr>
    </w:lvl>
    <w:lvl w:ilvl="8" w:tplc="132AA932">
      <w:start w:val="1"/>
      <w:numFmt w:val="bullet"/>
      <w:lvlText w:val=""/>
      <w:lvlJc w:val="left"/>
      <w:pPr>
        <w:ind w:left="6480" w:hanging="360"/>
      </w:pPr>
      <w:rPr>
        <w:rFonts w:ascii="Wingdings" w:hAnsi="Wingdings" w:hint="default"/>
      </w:rPr>
    </w:lvl>
  </w:abstractNum>
  <w:abstractNum w:abstractNumId="17" w15:restartNumberingAfterBreak="0">
    <w:nsid w:val="5C700039"/>
    <w:multiLevelType w:val="hybridMultilevel"/>
    <w:tmpl w:val="74E04B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A9374"/>
    <w:multiLevelType w:val="hybridMultilevel"/>
    <w:tmpl w:val="2214C422"/>
    <w:lvl w:ilvl="0" w:tplc="03AAF3A4">
      <w:start w:val="1"/>
      <w:numFmt w:val="bullet"/>
      <w:lvlText w:val="·"/>
      <w:lvlJc w:val="left"/>
      <w:pPr>
        <w:ind w:left="720" w:hanging="360"/>
      </w:pPr>
      <w:rPr>
        <w:rFonts w:ascii="Symbol" w:hAnsi="Symbol" w:hint="default"/>
      </w:rPr>
    </w:lvl>
    <w:lvl w:ilvl="1" w:tplc="701A1CF4">
      <w:start w:val="1"/>
      <w:numFmt w:val="bullet"/>
      <w:lvlText w:val="o"/>
      <w:lvlJc w:val="left"/>
      <w:pPr>
        <w:ind w:left="1440" w:hanging="360"/>
      </w:pPr>
      <w:rPr>
        <w:rFonts w:ascii="Courier New" w:hAnsi="Courier New" w:hint="default"/>
      </w:rPr>
    </w:lvl>
    <w:lvl w:ilvl="2" w:tplc="0150C316">
      <w:start w:val="1"/>
      <w:numFmt w:val="bullet"/>
      <w:lvlText w:val=""/>
      <w:lvlJc w:val="left"/>
      <w:pPr>
        <w:ind w:left="2160" w:hanging="360"/>
      </w:pPr>
      <w:rPr>
        <w:rFonts w:ascii="Wingdings" w:hAnsi="Wingdings" w:hint="default"/>
      </w:rPr>
    </w:lvl>
    <w:lvl w:ilvl="3" w:tplc="C180DFB4">
      <w:start w:val="1"/>
      <w:numFmt w:val="bullet"/>
      <w:lvlText w:val=""/>
      <w:lvlJc w:val="left"/>
      <w:pPr>
        <w:ind w:left="2880" w:hanging="360"/>
      </w:pPr>
      <w:rPr>
        <w:rFonts w:ascii="Symbol" w:hAnsi="Symbol" w:hint="default"/>
      </w:rPr>
    </w:lvl>
    <w:lvl w:ilvl="4" w:tplc="7C788758">
      <w:start w:val="1"/>
      <w:numFmt w:val="bullet"/>
      <w:lvlText w:val="o"/>
      <w:lvlJc w:val="left"/>
      <w:pPr>
        <w:ind w:left="3600" w:hanging="360"/>
      </w:pPr>
      <w:rPr>
        <w:rFonts w:ascii="Courier New" w:hAnsi="Courier New" w:hint="default"/>
      </w:rPr>
    </w:lvl>
    <w:lvl w:ilvl="5" w:tplc="D178A3E6">
      <w:start w:val="1"/>
      <w:numFmt w:val="bullet"/>
      <w:lvlText w:val=""/>
      <w:lvlJc w:val="left"/>
      <w:pPr>
        <w:ind w:left="4320" w:hanging="360"/>
      </w:pPr>
      <w:rPr>
        <w:rFonts w:ascii="Wingdings" w:hAnsi="Wingdings" w:hint="default"/>
      </w:rPr>
    </w:lvl>
    <w:lvl w:ilvl="6" w:tplc="52C00C20">
      <w:start w:val="1"/>
      <w:numFmt w:val="bullet"/>
      <w:lvlText w:val=""/>
      <w:lvlJc w:val="left"/>
      <w:pPr>
        <w:ind w:left="5040" w:hanging="360"/>
      </w:pPr>
      <w:rPr>
        <w:rFonts w:ascii="Symbol" w:hAnsi="Symbol" w:hint="default"/>
      </w:rPr>
    </w:lvl>
    <w:lvl w:ilvl="7" w:tplc="A524F9C2">
      <w:start w:val="1"/>
      <w:numFmt w:val="bullet"/>
      <w:lvlText w:val="o"/>
      <w:lvlJc w:val="left"/>
      <w:pPr>
        <w:ind w:left="5760" w:hanging="360"/>
      </w:pPr>
      <w:rPr>
        <w:rFonts w:ascii="Courier New" w:hAnsi="Courier New" w:hint="default"/>
      </w:rPr>
    </w:lvl>
    <w:lvl w:ilvl="8" w:tplc="199CBD96">
      <w:start w:val="1"/>
      <w:numFmt w:val="bullet"/>
      <w:lvlText w:val=""/>
      <w:lvlJc w:val="left"/>
      <w:pPr>
        <w:ind w:left="6480" w:hanging="360"/>
      </w:pPr>
      <w:rPr>
        <w:rFonts w:ascii="Wingdings" w:hAnsi="Wingdings" w:hint="default"/>
      </w:rPr>
    </w:lvl>
  </w:abstractNum>
  <w:abstractNum w:abstractNumId="19" w15:restartNumberingAfterBreak="0">
    <w:nsid w:val="5FE80274"/>
    <w:multiLevelType w:val="hybridMultilevel"/>
    <w:tmpl w:val="8D128F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880C1E6"/>
    <w:multiLevelType w:val="hybridMultilevel"/>
    <w:tmpl w:val="AF9A3BCA"/>
    <w:lvl w:ilvl="0" w:tplc="17A0ADE8">
      <w:start w:val="1"/>
      <w:numFmt w:val="bullet"/>
      <w:lvlText w:val="·"/>
      <w:lvlJc w:val="left"/>
      <w:pPr>
        <w:ind w:left="720" w:hanging="360"/>
      </w:pPr>
      <w:rPr>
        <w:rFonts w:ascii="Symbol" w:hAnsi="Symbol" w:hint="default"/>
      </w:rPr>
    </w:lvl>
    <w:lvl w:ilvl="1" w:tplc="527A869A">
      <w:start w:val="1"/>
      <w:numFmt w:val="bullet"/>
      <w:lvlText w:val="o"/>
      <w:lvlJc w:val="left"/>
      <w:pPr>
        <w:ind w:left="1440" w:hanging="360"/>
      </w:pPr>
      <w:rPr>
        <w:rFonts w:ascii="Courier New" w:hAnsi="Courier New" w:hint="default"/>
      </w:rPr>
    </w:lvl>
    <w:lvl w:ilvl="2" w:tplc="4C3884E4">
      <w:start w:val="1"/>
      <w:numFmt w:val="bullet"/>
      <w:lvlText w:val=""/>
      <w:lvlJc w:val="left"/>
      <w:pPr>
        <w:ind w:left="2160" w:hanging="360"/>
      </w:pPr>
      <w:rPr>
        <w:rFonts w:ascii="Wingdings" w:hAnsi="Wingdings" w:hint="default"/>
      </w:rPr>
    </w:lvl>
    <w:lvl w:ilvl="3" w:tplc="A948C4DC">
      <w:start w:val="1"/>
      <w:numFmt w:val="bullet"/>
      <w:lvlText w:val=""/>
      <w:lvlJc w:val="left"/>
      <w:pPr>
        <w:ind w:left="2880" w:hanging="360"/>
      </w:pPr>
      <w:rPr>
        <w:rFonts w:ascii="Symbol" w:hAnsi="Symbol" w:hint="default"/>
      </w:rPr>
    </w:lvl>
    <w:lvl w:ilvl="4" w:tplc="E97A9B2C">
      <w:start w:val="1"/>
      <w:numFmt w:val="bullet"/>
      <w:lvlText w:val="o"/>
      <w:lvlJc w:val="left"/>
      <w:pPr>
        <w:ind w:left="3600" w:hanging="360"/>
      </w:pPr>
      <w:rPr>
        <w:rFonts w:ascii="Courier New" w:hAnsi="Courier New" w:hint="default"/>
      </w:rPr>
    </w:lvl>
    <w:lvl w:ilvl="5" w:tplc="7BFE4F48">
      <w:start w:val="1"/>
      <w:numFmt w:val="bullet"/>
      <w:lvlText w:val=""/>
      <w:lvlJc w:val="left"/>
      <w:pPr>
        <w:ind w:left="4320" w:hanging="360"/>
      </w:pPr>
      <w:rPr>
        <w:rFonts w:ascii="Wingdings" w:hAnsi="Wingdings" w:hint="default"/>
      </w:rPr>
    </w:lvl>
    <w:lvl w:ilvl="6" w:tplc="D5B8737A">
      <w:start w:val="1"/>
      <w:numFmt w:val="bullet"/>
      <w:lvlText w:val=""/>
      <w:lvlJc w:val="left"/>
      <w:pPr>
        <w:ind w:left="5040" w:hanging="360"/>
      </w:pPr>
      <w:rPr>
        <w:rFonts w:ascii="Symbol" w:hAnsi="Symbol" w:hint="default"/>
      </w:rPr>
    </w:lvl>
    <w:lvl w:ilvl="7" w:tplc="72F0EF3E">
      <w:start w:val="1"/>
      <w:numFmt w:val="bullet"/>
      <w:lvlText w:val="o"/>
      <w:lvlJc w:val="left"/>
      <w:pPr>
        <w:ind w:left="5760" w:hanging="360"/>
      </w:pPr>
      <w:rPr>
        <w:rFonts w:ascii="Courier New" w:hAnsi="Courier New" w:hint="default"/>
      </w:rPr>
    </w:lvl>
    <w:lvl w:ilvl="8" w:tplc="C5968816">
      <w:start w:val="1"/>
      <w:numFmt w:val="bullet"/>
      <w:lvlText w:val=""/>
      <w:lvlJc w:val="left"/>
      <w:pPr>
        <w:ind w:left="6480" w:hanging="360"/>
      </w:pPr>
      <w:rPr>
        <w:rFonts w:ascii="Wingdings" w:hAnsi="Wingdings" w:hint="default"/>
      </w:rPr>
    </w:lvl>
  </w:abstractNum>
  <w:abstractNum w:abstractNumId="21" w15:restartNumberingAfterBreak="0">
    <w:nsid w:val="69577EB3"/>
    <w:multiLevelType w:val="hybridMultilevel"/>
    <w:tmpl w:val="7AE87A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946CA9"/>
    <w:multiLevelType w:val="hybridMultilevel"/>
    <w:tmpl w:val="CF80F0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BD0F95"/>
    <w:multiLevelType w:val="hybridMultilevel"/>
    <w:tmpl w:val="602876AA"/>
    <w:lvl w:ilvl="0" w:tplc="1994BFE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EE26C9"/>
    <w:multiLevelType w:val="hybridMultilevel"/>
    <w:tmpl w:val="34CA8C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FBED51"/>
    <w:multiLevelType w:val="hybridMultilevel"/>
    <w:tmpl w:val="722A342E"/>
    <w:lvl w:ilvl="0" w:tplc="1382D364">
      <w:start w:val="1"/>
      <w:numFmt w:val="bullet"/>
      <w:lvlText w:val=""/>
      <w:lvlJc w:val="left"/>
      <w:pPr>
        <w:ind w:left="720" w:hanging="360"/>
      </w:pPr>
      <w:rPr>
        <w:rFonts w:ascii="Wingdings" w:hAnsi="Wingdings" w:hint="default"/>
      </w:rPr>
    </w:lvl>
    <w:lvl w:ilvl="1" w:tplc="1C5EC1B2">
      <w:start w:val="1"/>
      <w:numFmt w:val="bullet"/>
      <w:lvlText w:val="o"/>
      <w:lvlJc w:val="left"/>
      <w:pPr>
        <w:ind w:left="1440" w:hanging="360"/>
      </w:pPr>
      <w:rPr>
        <w:rFonts w:ascii="Courier New" w:hAnsi="Courier New" w:hint="default"/>
      </w:rPr>
    </w:lvl>
    <w:lvl w:ilvl="2" w:tplc="56AA23A4">
      <w:start w:val="1"/>
      <w:numFmt w:val="bullet"/>
      <w:lvlText w:val=""/>
      <w:lvlJc w:val="left"/>
      <w:pPr>
        <w:ind w:left="2160" w:hanging="360"/>
      </w:pPr>
      <w:rPr>
        <w:rFonts w:ascii="Wingdings" w:hAnsi="Wingdings" w:hint="default"/>
      </w:rPr>
    </w:lvl>
    <w:lvl w:ilvl="3" w:tplc="9FE80CAC">
      <w:start w:val="1"/>
      <w:numFmt w:val="bullet"/>
      <w:lvlText w:val=""/>
      <w:lvlJc w:val="left"/>
      <w:pPr>
        <w:ind w:left="2880" w:hanging="360"/>
      </w:pPr>
      <w:rPr>
        <w:rFonts w:ascii="Symbol" w:hAnsi="Symbol" w:hint="default"/>
      </w:rPr>
    </w:lvl>
    <w:lvl w:ilvl="4" w:tplc="A7481224">
      <w:start w:val="1"/>
      <w:numFmt w:val="bullet"/>
      <w:lvlText w:val="o"/>
      <w:lvlJc w:val="left"/>
      <w:pPr>
        <w:ind w:left="3600" w:hanging="360"/>
      </w:pPr>
      <w:rPr>
        <w:rFonts w:ascii="Courier New" w:hAnsi="Courier New" w:hint="default"/>
      </w:rPr>
    </w:lvl>
    <w:lvl w:ilvl="5" w:tplc="2CAC06EE">
      <w:start w:val="1"/>
      <w:numFmt w:val="bullet"/>
      <w:lvlText w:val=""/>
      <w:lvlJc w:val="left"/>
      <w:pPr>
        <w:ind w:left="4320" w:hanging="360"/>
      </w:pPr>
      <w:rPr>
        <w:rFonts w:ascii="Wingdings" w:hAnsi="Wingdings" w:hint="default"/>
      </w:rPr>
    </w:lvl>
    <w:lvl w:ilvl="6" w:tplc="39920CCE">
      <w:start w:val="1"/>
      <w:numFmt w:val="bullet"/>
      <w:lvlText w:val=""/>
      <w:lvlJc w:val="left"/>
      <w:pPr>
        <w:ind w:left="5040" w:hanging="360"/>
      </w:pPr>
      <w:rPr>
        <w:rFonts w:ascii="Symbol" w:hAnsi="Symbol" w:hint="default"/>
      </w:rPr>
    </w:lvl>
    <w:lvl w:ilvl="7" w:tplc="AE9C1C58">
      <w:start w:val="1"/>
      <w:numFmt w:val="bullet"/>
      <w:lvlText w:val="o"/>
      <w:lvlJc w:val="left"/>
      <w:pPr>
        <w:ind w:left="5760" w:hanging="360"/>
      </w:pPr>
      <w:rPr>
        <w:rFonts w:ascii="Courier New" w:hAnsi="Courier New" w:hint="default"/>
      </w:rPr>
    </w:lvl>
    <w:lvl w:ilvl="8" w:tplc="D0A61EAE">
      <w:start w:val="1"/>
      <w:numFmt w:val="bullet"/>
      <w:lvlText w:val=""/>
      <w:lvlJc w:val="left"/>
      <w:pPr>
        <w:ind w:left="6480" w:hanging="360"/>
      </w:pPr>
      <w:rPr>
        <w:rFonts w:ascii="Wingdings" w:hAnsi="Wingdings" w:hint="default"/>
      </w:rPr>
    </w:lvl>
  </w:abstractNum>
  <w:abstractNum w:abstractNumId="26" w15:restartNumberingAfterBreak="0">
    <w:nsid w:val="745C4F59"/>
    <w:multiLevelType w:val="multilevel"/>
    <w:tmpl w:val="9FC2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499232">
    <w:abstractNumId w:val="2"/>
  </w:num>
  <w:num w:numId="2" w16cid:durableId="414976497">
    <w:abstractNumId w:val="5"/>
  </w:num>
  <w:num w:numId="3" w16cid:durableId="73818475">
    <w:abstractNumId w:val="7"/>
  </w:num>
  <w:num w:numId="4" w16cid:durableId="580410064">
    <w:abstractNumId w:val="12"/>
  </w:num>
  <w:num w:numId="5" w16cid:durableId="485515244">
    <w:abstractNumId w:val="3"/>
  </w:num>
  <w:num w:numId="6" w16cid:durableId="1576086876">
    <w:abstractNumId w:val="11"/>
  </w:num>
  <w:num w:numId="7" w16cid:durableId="768165047">
    <w:abstractNumId w:val="26"/>
  </w:num>
  <w:num w:numId="8" w16cid:durableId="665288361">
    <w:abstractNumId w:val="21"/>
  </w:num>
  <w:num w:numId="9" w16cid:durableId="1546137119">
    <w:abstractNumId w:val="6"/>
  </w:num>
  <w:num w:numId="10" w16cid:durableId="265307022">
    <w:abstractNumId w:val="17"/>
  </w:num>
  <w:num w:numId="11" w16cid:durableId="131947263">
    <w:abstractNumId w:val="9"/>
  </w:num>
  <w:num w:numId="12" w16cid:durableId="1306162312">
    <w:abstractNumId w:val="13"/>
  </w:num>
  <w:num w:numId="13" w16cid:durableId="1807623103">
    <w:abstractNumId w:val="4"/>
  </w:num>
  <w:num w:numId="14" w16cid:durableId="967662487">
    <w:abstractNumId w:val="10"/>
  </w:num>
  <w:num w:numId="15" w16cid:durableId="1959296680">
    <w:abstractNumId w:val="22"/>
  </w:num>
  <w:num w:numId="16" w16cid:durableId="1886526099">
    <w:abstractNumId w:val="8"/>
  </w:num>
  <w:num w:numId="17" w16cid:durableId="1054810807">
    <w:abstractNumId w:val="15"/>
  </w:num>
  <w:num w:numId="18" w16cid:durableId="836461750">
    <w:abstractNumId w:val="24"/>
  </w:num>
  <w:num w:numId="19" w16cid:durableId="886381859">
    <w:abstractNumId w:val="23"/>
  </w:num>
  <w:num w:numId="20" w16cid:durableId="691422942">
    <w:abstractNumId w:val="16"/>
  </w:num>
  <w:num w:numId="21" w16cid:durableId="1961568768">
    <w:abstractNumId w:val="20"/>
  </w:num>
  <w:num w:numId="22" w16cid:durableId="535314348">
    <w:abstractNumId w:val="18"/>
  </w:num>
  <w:num w:numId="23" w16cid:durableId="904486788">
    <w:abstractNumId w:val="25"/>
  </w:num>
  <w:num w:numId="24" w16cid:durableId="1309674750">
    <w:abstractNumId w:val="0"/>
  </w:num>
  <w:num w:numId="25" w16cid:durableId="472603854">
    <w:abstractNumId w:val="1"/>
  </w:num>
  <w:num w:numId="26" w16cid:durableId="532814706">
    <w:abstractNumId w:val="14"/>
  </w:num>
  <w:num w:numId="27" w16cid:durableId="6884112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74"/>
    <w:rsid w:val="00001BAD"/>
    <w:rsid w:val="0000205E"/>
    <w:rsid w:val="00003DF3"/>
    <w:rsid w:val="000057AA"/>
    <w:rsid w:val="00007A65"/>
    <w:rsid w:val="00007C52"/>
    <w:rsid w:val="00007F2C"/>
    <w:rsid w:val="00011CB9"/>
    <w:rsid w:val="00012379"/>
    <w:rsid w:val="000140D1"/>
    <w:rsid w:val="00014346"/>
    <w:rsid w:val="00014572"/>
    <w:rsid w:val="00014C70"/>
    <w:rsid w:val="00015A10"/>
    <w:rsid w:val="00016D2B"/>
    <w:rsid w:val="00017BD8"/>
    <w:rsid w:val="00017D90"/>
    <w:rsid w:val="00021556"/>
    <w:rsid w:val="0002185D"/>
    <w:rsid w:val="000220B2"/>
    <w:rsid w:val="00023DC7"/>
    <w:rsid w:val="00025CEE"/>
    <w:rsid w:val="00031896"/>
    <w:rsid w:val="00034877"/>
    <w:rsid w:val="000374BC"/>
    <w:rsid w:val="00041B7E"/>
    <w:rsid w:val="000431B5"/>
    <w:rsid w:val="000433D3"/>
    <w:rsid w:val="0004528B"/>
    <w:rsid w:val="00047DB6"/>
    <w:rsid w:val="000502A4"/>
    <w:rsid w:val="00050365"/>
    <w:rsid w:val="00052923"/>
    <w:rsid w:val="00052CC1"/>
    <w:rsid w:val="00056D70"/>
    <w:rsid w:val="00056F28"/>
    <w:rsid w:val="00060C50"/>
    <w:rsid w:val="00063CEF"/>
    <w:rsid w:val="000719D5"/>
    <w:rsid w:val="00073833"/>
    <w:rsid w:val="000739FC"/>
    <w:rsid w:val="000811E8"/>
    <w:rsid w:val="00082818"/>
    <w:rsid w:val="00085728"/>
    <w:rsid w:val="00091273"/>
    <w:rsid w:val="00091F62"/>
    <w:rsid w:val="0009261B"/>
    <w:rsid w:val="000973B7"/>
    <w:rsid w:val="00097728"/>
    <w:rsid w:val="000978E9"/>
    <w:rsid w:val="000A4820"/>
    <w:rsid w:val="000A581F"/>
    <w:rsid w:val="000A5A7F"/>
    <w:rsid w:val="000A5F70"/>
    <w:rsid w:val="000A6FCF"/>
    <w:rsid w:val="000A7D7C"/>
    <w:rsid w:val="000B08EE"/>
    <w:rsid w:val="000B1AA0"/>
    <w:rsid w:val="000B1E3A"/>
    <w:rsid w:val="000B5155"/>
    <w:rsid w:val="000B6C95"/>
    <w:rsid w:val="000C1923"/>
    <w:rsid w:val="000C1E68"/>
    <w:rsid w:val="000C5881"/>
    <w:rsid w:val="000C5DEF"/>
    <w:rsid w:val="000D5232"/>
    <w:rsid w:val="000D712A"/>
    <w:rsid w:val="000E74D6"/>
    <w:rsid w:val="000F4508"/>
    <w:rsid w:val="000F4643"/>
    <w:rsid w:val="000F62ED"/>
    <w:rsid w:val="000F778C"/>
    <w:rsid w:val="0010046E"/>
    <w:rsid w:val="001005C3"/>
    <w:rsid w:val="00102E7F"/>
    <w:rsid w:val="00102FC6"/>
    <w:rsid w:val="001053C6"/>
    <w:rsid w:val="00110F73"/>
    <w:rsid w:val="001121F5"/>
    <w:rsid w:val="001144FB"/>
    <w:rsid w:val="00115C87"/>
    <w:rsid w:val="00121E48"/>
    <w:rsid w:val="00122238"/>
    <w:rsid w:val="00122DB6"/>
    <w:rsid w:val="00124145"/>
    <w:rsid w:val="00124BC4"/>
    <w:rsid w:val="001250F9"/>
    <w:rsid w:val="001251EA"/>
    <w:rsid w:val="001332F2"/>
    <w:rsid w:val="0013479A"/>
    <w:rsid w:val="00134DEF"/>
    <w:rsid w:val="00134EE5"/>
    <w:rsid w:val="00135ED2"/>
    <w:rsid w:val="001362CF"/>
    <w:rsid w:val="001378E7"/>
    <w:rsid w:val="00137FEF"/>
    <w:rsid w:val="00144C46"/>
    <w:rsid w:val="00146C1E"/>
    <w:rsid w:val="00147777"/>
    <w:rsid w:val="00150AF7"/>
    <w:rsid w:val="00150D5D"/>
    <w:rsid w:val="00151015"/>
    <w:rsid w:val="00160BFD"/>
    <w:rsid w:val="00163A7B"/>
    <w:rsid w:val="00163BE3"/>
    <w:rsid w:val="001642D4"/>
    <w:rsid w:val="00164874"/>
    <w:rsid w:val="00167918"/>
    <w:rsid w:val="00171502"/>
    <w:rsid w:val="001752CA"/>
    <w:rsid w:val="00176450"/>
    <w:rsid w:val="00176885"/>
    <w:rsid w:val="0018613C"/>
    <w:rsid w:val="001867F5"/>
    <w:rsid w:val="00190136"/>
    <w:rsid w:val="00192418"/>
    <w:rsid w:val="001933DF"/>
    <w:rsid w:val="00194CB7"/>
    <w:rsid w:val="001A16F0"/>
    <w:rsid w:val="001A18D7"/>
    <w:rsid w:val="001A5871"/>
    <w:rsid w:val="001A6269"/>
    <w:rsid w:val="001B0074"/>
    <w:rsid w:val="001B20D8"/>
    <w:rsid w:val="001B394C"/>
    <w:rsid w:val="001B7011"/>
    <w:rsid w:val="001C0A2A"/>
    <w:rsid w:val="001C10E9"/>
    <w:rsid w:val="001C1327"/>
    <w:rsid w:val="001C2185"/>
    <w:rsid w:val="001C70C9"/>
    <w:rsid w:val="001C7B79"/>
    <w:rsid w:val="001D0FC8"/>
    <w:rsid w:val="001D1C00"/>
    <w:rsid w:val="001D2581"/>
    <w:rsid w:val="001D4607"/>
    <w:rsid w:val="001D61BB"/>
    <w:rsid w:val="001D6D03"/>
    <w:rsid w:val="001D7A57"/>
    <w:rsid w:val="001E32E2"/>
    <w:rsid w:val="001E390D"/>
    <w:rsid w:val="001F10ED"/>
    <w:rsid w:val="001F1AB5"/>
    <w:rsid w:val="001F49EC"/>
    <w:rsid w:val="001F5F0F"/>
    <w:rsid w:val="001F693C"/>
    <w:rsid w:val="00201A97"/>
    <w:rsid w:val="00206406"/>
    <w:rsid w:val="00207422"/>
    <w:rsid w:val="00211D1F"/>
    <w:rsid w:val="002122A6"/>
    <w:rsid w:val="00212AF6"/>
    <w:rsid w:val="00213CD0"/>
    <w:rsid w:val="0021466C"/>
    <w:rsid w:val="00222EC7"/>
    <w:rsid w:val="00227362"/>
    <w:rsid w:val="00231804"/>
    <w:rsid w:val="00233E72"/>
    <w:rsid w:val="002356D7"/>
    <w:rsid w:val="002370EB"/>
    <w:rsid w:val="0024499C"/>
    <w:rsid w:val="0024669C"/>
    <w:rsid w:val="00246B4C"/>
    <w:rsid w:val="002518FB"/>
    <w:rsid w:val="00253834"/>
    <w:rsid w:val="002607EC"/>
    <w:rsid w:val="002618E9"/>
    <w:rsid w:val="002650D2"/>
    <w:rsid w:val="00271242"/>
    <w:rsid w:val="00272C88"/>
    <w:rsid w:val="0027362E"/>
    <w:rsid w:val="00273A14"/>
    <w:rsid w:val="0028146A"/>
    <w:rsid w:val="002826BE"/>
    <w:rsid w:val="00285BB5"/>
    <w:rsid w:val="00291E8E"/>
    <w:rsid w:val="0029469A"/>
    <w:rsid w:val="00294B3D"/>
    <w:rsid w:val="00295E1E"/>
    <w:rsid w:val="002A7C0E"/>
    <w:rsid w:val="002B21D9"/>
    <w:rsid w:val="002B2FBA"/>
    <w:rsid w:val="002B5E5F"/>
    <w:rsid w:val="002C0069"/>
    <w:rsid w:val="002C55BF"/>
    <w:rsid w:val="002C5FBB"/>
    <w:rsid w:val="002D4DBB"/>
    <w:rsid w:val="002E03CE"/>
    <w:rsid w:val="002E165E"/>
    <w:rsid w:val="002E1FA8"/>
    <w:rsid w:val="002E5BC0"/>
    <w:rsid w:val="002E6201"/>
    <w:rsid w:val="002F2EF9"/>
    <w:rsid w:val="002F40A8"/>
    <w:rsid w:val="002F4A4C"/>
    <w:rsid w:val="00300F49"/>
    <w:rsid w:val="003020AC"/>
    <w:rsid w:val="003024BE"/>
    <w:rsid w:val="00305663"/>
    <w:rsid w:val="00306E58"/>
    <w:rsid w:val="00312358"/>
    <w:rsid w:val="00316F41"/>
    <w:rsid w:val="00320509"/>
    <w:rsid w:val="00320B46"/>
    <w:rsid w:val="00320EAF"/>
    <w:rsid w:val="0032155C"/>
    <w:rsid w:val="003255FB"/>
    <w:rsid w:val="00326FBB"/>
    <w:rsid w:val="0033021E"/>
    <w:rsid w:val="00330D1B"/>
    <w:rsid w:val="00331592"/>
    <w:rsid w:val="00331744"/>
    <w:rsid w:val="0033588F"/>
    <w:rsid w:val="00335DE7"/>
    <w:rsid w:val="00337972"/>
    <w:rsid w:val="00341618"/>
    <w:rsid w:val="00342647"/>
    <w:rsid w:val="00344BCF"/>
    <w:rsid w:val="00346953"/>
    <w:rsid w:val="00346F04"/>
    <w:rsid w:val="00347D6B"/>
    <w:rsid w:val="003509F1"/>
    <w:rsid w:val="0035602A"/>
    <w:rsid w:val="00357F2E"/>
    <w:rsid w:val="0036312E"/>
    <w:rsid w:val="00363CC5"/>
    <w:rsid w:val="00364475"/>
    <w:rsid w:val="0036601A"/>
    <w:rsid w:val="00376BBF"/>
    <w:rsid w:val="003803BB"/>
    <w:rsid w:val="003853BC"/>
    <w:rsid w:val="0038748F"/>
    <w:rsid w:val="00390052"/>
    <w:rsid w:val="003932F0"/>
    <w:rsid w:val="003971F9"/>
    <w:rsid w:val="003A1237"/>
    <w:rsid w:val="003A393B"/>
    <w:rsid w:val="003A44C8"/>
    <w:rsid w:val="003A4A09"/>
    <w:rsid w:val="003A5913"/>
    <w:rsid w:val="003A5AF9"/>
    <w:rsid w:val="003B69D0"/>
    <w:rsid w:val="003B6DEC"/>
    <w:rsid w:val="003B78FB"/>
    <w:rsid w:val="003C421F"/>
    <w:rsid w:val="003C6F45"/>
    <w:rsid w:val="003D2EC9"/>
    <w:rsid w:val="003D38BC"/>
    <w:rsid w:val="003D3B74"/>
    <w:rsid w:val="003D513C"/>
    <w:rsid w:val="003E27D6"/>
    <w:rsid w:val="003E6D56"/>
    <w:rsid w:val="003F0EDF"/>
    <w:rsid w:val="003F359F"/>
    <w:rsid w:val="003F4EF7"/>
    <w:rsid w:val="00401948"/>
    <w:rsid w:val="004023AA"/>
    <w:rsid w:val="00403444"/>
    <w:rsid w:val="0040354A"/>
    <w:rsid w:val="00403DD9"/>
    <w:rsid w:val="0040424B"/>
    <w:rsid w:val="00406751"/>
    <w:rsid w:val="0040684A"/>
    <w:rsid w:val="00407EFA"/>
    <w:rsid w:val="00411A29"/>
    <w:rsid w:val="00411AB3"/>
    <w:rsid w:val="00412F5D"/>
    <w:rsid w:val="00414A96"/>
    <w:rsid w:val="0041687C"/>
    <w:rsid w:val="0041791A"/>
    <w:rsid w:val="004202C8"/>
    <w:rsid w:val="00421A36"/>
    <w:rsid w:val="00422941"/>
    <w:rsid w:val="00424BA1"/>
    <w:rsid w:val="00424D4F"/>
    <w:rsid w:val="00425610"/>
    <w:rsid w:val="004275F3"/>
    <w:rsid w:val="004339FA"/>
    <w:rsid w:val="00437416"/>
    <w:rsid w:val="004440C6"/>
    <w:rsid w:val="0045082B"/>
    <w:rsid w:val="0045126D"/>
    <w:rsid w:val="00452004"/>
    <w:rsid w:val="00456280"/>
    <w:rsid w:val="00461406"/>
    <w:rsid w:val="00461E70"/>
    <w:rsid w:val="00462C1F"/>
    <w:rsid w:val="004630E7"/>
    <w:rsid w:val="0046337A"/>
    <w:rsid w:val="004660D0"/>
    <w:rsid w:val="004753AD"/>
    <w:rsid w:val="00475DE4"/>
    <w:rsid w:val="00483DE6"/>
    <w:rsid w:val="00486B93"/>
    <w:rsid w:val="00487034"/>
    <w:rsid w:val="0048791A"/>
    <w:rsid w:val="00494B1D"/>
    <w:rsid w:val="004A6E0F"/>
    <w:rsid w:val="004B0502"/>
    <w:rsid w:val="004B2DD9"/>
    <w:rsid w:val="004B5D29"/>
    <w:rsid w:val="004B7E87"/>
    <w:rsid w:val="004C0825"/>
    <w:rsid w:val="004C1404"/>
    <w:rsid w:val="004C20C6"/>
    <w:rsid w:val="004C2245"/>
    <w:rsid w:val="004C3145"/>
    <w:rsid w:val="004C4A65"/>
    <w:rsid w:val="004C5189"/>
    <w:rsid w:val="004C5327"/>
    <w:rsid w:val="004D182B"/>
    <w:rsid w:val="004D1B25"/>
    <w:rsid w:val="004D1DF5"/>
    <w:rsid w:val="004D2011"/>
    <w:rsid w:val="004D2EE5"/>
    <w:rsid w:val="004E1613"/>
    <w:rsid w:val="004F403A"/>
    <w:rsid w:val="004F4D26"/>
    <w:rsid w:val="004F5456"/>
    <w:rsid w:val="004F64D5"/>
    <w:rsid w:val="004F7AEB"/>
    <w:rsid w:val="00505A3A"/>
    <w:rsid w:val="0050672D"/>
    <w:rsid w:val="00507041"/>
    <w:rsid w:val="00510419"/>
    <w:rsid w:val="005126C4"/>
    <w:rsid w:val="00512DE8"/>
    <w:rsid w:val="00513915"/>
    <w:rsid w:val="00513CA5"/>
    <w:rsid w:val="00516ECA"/>
    <w:rsid w:val="005207DB"/>
    <w:rsid w:val="005231DD"/>
    <w:rsid w:val="00524D5B"/>
    <w:rsid w:val="0052589E"/>
    <w:rsid w:val="005314E6"/>
    <w:rsid w:val="005327B2"/>
    <w:rsid w:val="00532BC2"/>
    <w:rsid w:val="00536A02"/>
    <w:rsid w:val="00536CCA"/>
    <w:rsid w:val="0053743B"/>
    <w:rsid w:val="00540103"/>
    <w:rsid w:val="00540566"/>
    <w:rsid w:val="00544147"/>
    <w:rsid w:val="00545A42"/>
    <w:rsid w:val="00550724"/>
    <w:rsid w:val="00552880"/>
    <w:rsid w:val="005576C6"/>
    <w:rsid w:val="0056020F"/>
    <w:rsid w:val="00560A5D"/>
    <w:rsid w:val="005618BD"/>
    <w:rsid w:val="005623AE"/>
    <w:rsid w:val="005650B7"/>
    <w:rsid w:val="00566878"/>
    <w:rsid w:val="00566CE3"/>
    <w:rsid w:val="0057151E"/>
    <w:rsid w:val="00575D5C"/>
    <w:rsid w:val="005761A3"/>
    <w:rsid w:val="00576C04"/>
    <w:rsid w:val="00582EFA"/>
    <w:rsid w:val="005857EA"/>
    <w:rsid w:val="00586991"/>
    <w:rsid w:val="005909F4"/>
    <w:rsid w:val="00590E2D"/>
    <w:rsid w:val="00590E84"/>
    <w:rsid w:val="00592130"/>
    <w:rsid w:val="00595192"/>
    <w:rsid w:val="00597206"/>
    <w:rsid w:val="005A73C6"/>
    <w:rsid w:val="005B0ECA"/>
    <w:rsid w:val="005B18A5"/>
    <w:rsid w:val="005B48D1"/>
    <w:rsid w:val="005B5258"/>
    <w:rsid w:val="005D1E7A"/>
    <w:rsid w:val="005D6C6C"/>
    <w:rsid w:val="005E01ED"/>
    <w:rsid w:val="005E05CB"/>
    <w:rsid w:val="005E263D"/>
    <w:rsid w:val="005E2E13"/>
    <w:rsid w:val="005E6092"/>
    <w:rsid w:val="005F2FCA"/>
    <w:rsid w:val="005F469A"/>
    <w:rsid w:val="005F54BE"/>
    <w:rsid w:val="005F6E4C"/>
    <w:rsid w:val="006008FA"/>
    <w:rsid w:val="00600D14"/>
    <w:rsid w:val="006013F6"/>
    <w:rsid w:val="0060503F"/>
    <w:rsid w:val="0060609A"/>
    <w:rsid w:val="00606118"/>
    <w:rsid w:val="0060616E"/>
    <w:rsid w:val="00607D01"/>
    <w:rsid w:val="00611409"/>
    <w:rsid w:val="00612ABB"/>
    <w:rsid w:val="00613C80"/>
    <w:rsid w:val="006204B4"/>
    <w:rsid w:val="00623264"/>
    <w:rsid w:val="006244E5"/>
    <w:rsid w:val="00627784"/>
    <w:rsid w:val="00630165"/>
    <w:rsid w:val="006423B5"/>
    <w:rsid w:val="0064372A"/>
    <w:rsid w:val="00645244"/>
    <w:rsid w:val="006472A3"/>
    <w:rsid w:val="00651565"/>
    <w:rsid w:val="00651F8B"/>
    <w:rsid w:val="00661895"/>
    <w:rsid w:val="00663F9C"/>
    <w:rsid w:val="00665274"/>
    <w:rsid w:val="00665E5A"/>
    <w:rsid w:val="00675824"/>
    <w:rsid w:val="00677691"/>
    <w:rsid w:val="00677D44"/>
    <w:rsid w:val="00691129"/>
    <w:rsid w:val="006913E9"/>
    <w:rsid w:val="00693B26"/>
    <w:rsid w:val="00695FBE"/>
    <w:rsid w:val="0069657A"/>
    <w:rsid w:val="006A44E7"/>
    <w:rsid w:val="006A45B2"/>
    <w:rsid w:val="006A6212"/>
    <w:rsid w:val="006A68D8"/>
    <w:rsid w:val="006A777E"/>
    <w:rsid w:val="006B1178"/>
    <w:rsid w:val="006B49F6"/>
    <w:rsid w:val="006B69EB"/>
    <w:rsid w:val="006C13F3"/>
    <w:rsid w:val="006C1FF1"/>
    <w:rsid w:val="006D0CC1"/>
    <w:rsid w:val="006D11DD"/>
    <w:rsid w:val="006D52EE"/>
    <w:rsid w:val="006E00E3"/>
    <w:rsid w:val="006E00FD"/>
    <w:rsid w:val="006E185F"/>
    <w:rsid w:val="006E1C06"/>
    <w:rsid w:val="006E1DEC"/>
    <w:rsid w:val="006E3286"/>
    <w:rsid w:val="006E3983"/>
    <w:rsid w:val="006E59B6"/>
    <w:rsid w:val="006E63CD"/>
    <w:rsid w:val="006E74FF"/>
    <w:rsid w:val="006F4339"/>
    <w:rsid w:val="006F435B"/>
    <w:rsid w:val="006F55C1"/>
    <w:rsid w:val="006F7C42"/>
    <w:rsid w:val="0070185A"/>
    <w:rsid w:val="00702B4C"/>
    <w:rsid w:val="007068EF"/>
    <w:rsid w:val="007077F4"/>
    <w:rsid w:val="007123BB"/>
    <w:rsid w:val="007152B8"/>
    <w:rsid w:val="00717556"/>
    <w:rsid w:val="00720803"/>
    <w:rsid w:val="00720F47"/>
    <w:rsid w:val="00722BCA"/>
    <w:rsid w:val="00723B86"/>
    <w:rsid w:val="00724C0F"/>
    <w:rsid w:val="00727C9A"/>
    <w:rsid w:val="00730C42"/>
    <w:rsid w:val="00731189"/>
    <w:rsid w:val="00732DB8"/>
    <w:rsid w:val="00734E04"/>
    <w:rsid w:val="007412B1"/>
    <w:rsid w:val="00742263"/>
    <w:rsid w:val="00743FFA"/>
    <w:rsid w:val="007457CB"/>
    <w:rsid w:val="007460FF"/>
    <w:rsid w:val="00751603"/>
    <w:rsid w:val="0075244D"/>
    <w:rsid w:val="007540D6"/>
    <w:rsid w:val="007540D9"/>
    <w:rsid w:val="00754FFC"/>
    <w:rsid w:val="00755499"/>
    <w:rsid w:val="00755A0F"/>
    <w:rsid w:val="007569F2"/>
    <w:rsid w:val="007570C7"/>
    <w:rsid w:val="007579EC"/>
    <w:rsid w:val="00757C12"/>
    <w:rsid w:val="00765478"/>
    <w:rsid w:val="00767792"/>
    <w:rsid w:val="00774F3D"/>
    <w:rsid w:val="00775E41"/>
    <w:rsid w:val="0077776C"/>
    <w:rsid w:val="007777F3"/>
    <w:rsid w:val="00777E17"/>
    <w:rsid w:val="0078274F"/>
    <w:rsid w:val="00783F8D"/>
    <w:rsid w:val="00784A5A"/>
    <w:rsid w:val="00790BDE"/>
    <w:rsid w:val="0079367D"/>
    <w:rsid w:val="007A3491"/>
    <w:rsid w:val="007A37F9"/>
    <w:rsid w:val="007B2F44"/>
    <w:rsid w:val="007B3245"/>
    <w:rsid w:val="007B3FF9"/>
    <w:rsid w:val="007C0239"/>
    <w:rsid w:val="007C1FB7"/>
    <w:rsid w:val="007C415B"/>
    <w:rsid w:val="007C7543"/>
    <w:rsid w:val="007D0931"/>
    <w:rsid w:val="007D4686"/>
    <w:rsid w:val="007D4BA7"/>
    <w:rsid w:val="007D77E1"/>
    <w:rsid w:val="007E1301"/>
    <w:rsid w:val="007E31BC"/>
    <w:rsid w:val="007E55C9"/>
    <w:rsid w:val="007F1FC4"/>
    <w:rsid w:val="007F683A"/>
    <w:rsid w:val="008022D9"/>
    <w:rsid w:val="00804614"/>
    <w:rsid w:val="00805B98"/>
    <w:rsid w:val="00806FC7"/>
    <w:rsid w:val="008140ED"/>
    <w:rsid w:val="00820196"/>
    <w:rsid w:val="008201A4"/>
    <w:rsid w:val="00820AF1"/>
    <w:rsid w:val="008211C8"/>
    <w:rsid w:val="0082280A"/>
    <w:rsid w:val="008228CB"/>
    <w:rsid w:val="00822957"/>
    <w:rsid w:val="00823115"/>
    <w:rsid w:val="008256E3"/>
    <w:rsid w:val="00826DAD"/>
    <w:rsid w:val="008274BD"/>
    <w:rsid w:val="00831137"/>
    <w:rsid w:val="008343B1"/>
    <w:rsid w:val="00834821"/>
    <w:rsid w:val="008409D5"/>
    <w:rsid w:val="00840C73"/>
    <w:rsid w:val="00842AC3"/>
    <w:rsid w:val="00842E3B"/>
    <w:rsid w:val="00843792"/>
    <w:rsid w:val="008504D7"/>
    <w:rsid w:val="00851FAB"/>
    <w:rsid w:val="0085374B"/>
    <w:rsid w:val="00861462"/>
    <w:rsid w:val="008615A0"/>
    <w:rsid w:val="0086349B"/>
    <w:rsid w:val="0086453B"/>
    <w:rsid w:val="00864F60"/>
    <w:rsid w:val="0086594B"/>
    <w:rsid w:val="0086692B"/>
    <w:rsid w:val="008677F7"/>
    <w:rsid w:val="00871BE0"/>
    <w:rsid w:val="00873B65"/>
    <w:rsid w:val="00875396"/>
    <w:rsid w:val="008764B9"/>
    <w:rsid w:val="00882817"/>
    <w:rsid w:val="008829A4"/>
    <w:rsid w:val="008832D0"/>
    <w:rsid w:val="008833C5"/>
    <w:rsid w:val="0088341A"/>
    <w:rsid w:val="00884172"/>
    <w:rsid w:val="0088587E"/>
    <w:rsid w:val="0088663A"/>
    <w:rsid w:val="0089207A"/>
    <w:rsid w:val="0089291E"/>
    <w:rsid w:val="008931B3"/>
    <w:rsid w:val="00893B8E"/>
    <w:rsid w:val="00896FE5"/>
    <w:rsid w:val="00897B1F"/>
    <w:rsid w:val="008A0B54"/>
    <w:rsid w:val="008A0F06"/>
    <w:rsid w:val="008A4201"/>
    <w:rsid w:val="008A4B6E"/>
    <w:rsid w:val="008A5F09"/>
    <w:rsid w:val="008A736C"/>
    <w:rsid w:val="008B3671"/>
    <w:rsid w:val="008B387F"/>
    <w:rsid w:val="008B5441"/>
    <w:rsid w:val="008C0390"/>
    <w:rsid w:val="008C365C"/>
    <w:rsid w:val="008C5D43"/>
    <w:rsid w:val="008D0DD8"/>
    <w:rsid w:val="008D163F"/>
    <w:rsid w:val="008D27D5"/>
    <w:rsid w:val="008D2BDB"/>
    <w:rsid w:val="008D451B"/>
    <w:rsid w:val="008D473F"/>
    <w:rsid w:val="008D5DBF"/>
    <w:rsid w:val="008D6468"/>
    <w:rsid w:val="008D6EC1"/>
    <w:rsid w:val="008E1139"/>
    <w:rsid w:val="008E1FC5"/>
    <w:rsid w:val="008E2CEE"/>
    <w:rsid w:val="008E3742"/>
    <w:rsid w:val="008E400B"/>
    <w:rsid w:val="008F3FBC"/>
    <w:rsid w:val="008F718D"/>
    <w:rsid w:val="00902530"/>
    <w:rsid w:val="00903DFA"/>
    <w:rsid w:val="009046FA"/>
    <w:rsid w:val="00904E7D"/>
    <w:rsid w:val="00905CE7"/>
    <w:rsid w:val="00905EB0"/>
    <w:rsid w:val="00907C5E"/>
    <w:rsid w:val="0092249C"/>
    <w:rsid w:val="00923A88"/>
    <w:rsid w:val="0092466C"/>
    <w:rsid w:val="00924F73"/>
    <w:rsid w:val="009251AD"/>
    <w:rsid w:val="00926378"/>
    <w:rsid w:val="009264D0"/>
    <w:rsid w:val="009274B4"/>
    <w:rsid w:val="00930983"/>
    <w:rsid w:val="009309FC"/>
    <w:rsid w:val="00937266"/>
    <w:rsid w:val="00940638"/>
    <w:rsid w:val="0094147E"/>
    <w:rsid w:val="00942F87"/>
    <w:rsid w:val="009439C1"/>
    <w:rsid w:val="00945088"/>
    <w:rsid w:val="009458F4"/>
    <w:rsid w:val="009462DC"/>
    <w:rsid w:val="009471EF"/>
    <w:rsid w:val="0095234C"/>
    <w:rsid w:val="00954D50"/>
    <w:rsid w:val="00957934"/>
    <w:rsid w:val="0096748D"/>
    <w:rsid w:val="00967FE1"/>
    <w:rsid w:val="00970DDB"/>
    <w:rsid w:val="009711D7"/>
    <w:rsid w:val="009731B3"/>
    <w:rsid w:val="00974097"/>
    <w:rsid w:val="00975763"/>
    <w:rsid w:val="0098126D"/>
    <w:rsid w:val="0098370C"/>
    <w:rsid w:val="00983B04"/>
    <w:rsid w:val="0098407E"/>
    <w:rsid w:val="00984CDF"/>
    <w:rsid w:val="009902DE"/>
    <w:rsid w:val="00994F05"/>
    <w:rsid w:val="00996BDC"/>
    <w:rsid w:val="00997C64"/>
    <w:rsid w:val="009A703C"/>
    <w:rsid w:val="009B2F0D"/>
    <w:rsid w:val="009B3924"/>
    <w:rsid w:val="009B3DD8"/>
    <w:rsid w:val="009B4175"/>
    <w:rsid w:val="009C0503"/>
    <w:rsid w:val="009C2DAF"/>
    <w:rsid w:val="009C2E9B"/>
    <w:rsid w:val="009C3FB9"/>
    <w:rsid w:val="009C6EB4"/>
    <w:rsid w:val="009C7732"/>
    <w:rsid w:val="009D23FD"/>
    <w:rsid w:val="009D2415"/>
    <w:rsid w:val="009D453C"/>
    <w:rsid w:val="009D48BA"/>
    <w:rsid w:val="009D5A18"/>
    <w:rsid w:val="009E4020"/>
    <w:rsid w:val="009E47EE"/>
    <w:rsid w:val="009E55F7"/>
    <w:rsid w:val="009E6058"/>
    <w:rsid w:val="009F1412"/>
    <w:rsid w:val="009F3299"/>
    <w:rsid w:val="009F3348"/>
    <w:rsid w:val="009F36FF"/>
    <w:rsid w:val="009F42CA"/>
    <w:rsid w:val="009F4E4F"/>
    <w:rsid w:val="009F6F9B"/>
    <w:rsid w:val="009F71B2"/>
    <w:rsid w:val="00A035FB"/>
    <w:rsid w:val="00A03B87"/>
    <w:rsid w:val="00A05C08"/>
    <w:rsid w:val="00A06720"/>
    <w:rsid w:val="00A07934"/>
    <w:rsid w:val="00A101E6"/>
    <w:rsid w:val="00A172E6"/>
    <w:rsid w:val="00A21A83"/>
    <w:rsid w:val="00A22DF3"/>
    <w:rsid w:val="00A235B1"/>
    <w:rsid w:val="00A23CAC"/>
    <w:rsid w:val="00A23F7E"/>
    <w:rsid w:val="00A26227"/>
    <w:rsid w:val="00A26C08"/>
    <w:rsid w:val="00A3002D"/>
    <w:rsid w:val="00A308A9"/>
    <w:rsid w:val="00A34190"/>
    <w:rsid w:val="00A35201"/>
    <w:rsid w:val="00A36AE2"/>
    <w:rsid w:val="00A40401"/>
    <w:rsid w:val="00A40E85"/>
    <w:rsid w:val="00A4117D"/>
    <w:rsid w:val="00A4236C"/>
    <w:rsid w:val="00A43FE1"/>
    <w:rsid w:val="00A4609D"/>
    <w:rsid w:val="00A461AE"/>
    <w:rsid w:val="00A50079"/>
    <w:rsid w:val="00A501D2"/>
    <w:rsid w:val="00A50D0E"/>
    <w:rsid w:val="00A5216C"/>
    <w:rsid w:val="00A61700"/>
    <w:rsid w:val="00A62B54"/>
    <w:rsid w:val="00A63247"/>
    <w:rsid w:val="00A66204"/>
    <w:rsid w:val="00A667FC"/>
    <w:rsid w:val="00A679E6"/>
    <w:rsid w:val="00A7255F"/>
    <w:rsid w:val="00A72601"/>
    <w:rsid w:val="00A776BD"/>
    <w:rsid w:val="00A80935"/>
    <w:rsid w:val="00A867CD"/>
    <w:rsid w:val="00A900E9"/>
    <w:rsid w:val="00A92E5F"/>
    <w:rsid w:val="00A94EE0"/>
    <w:rsid w:val="00AA0CDE"/>
    <w:rsid w:val="00AA1EB0"/>
    <w:rsid w:val="00AA5E13"/>
    <w:rsid w:val="00AB301C"/>
    <w:rsid w:val="00AB3595"/>
    <w:rsid w:val="00AC0D1C"/>
    <w:rsid w:val="00AC6671"/>
    <w:rsid w:val="00AD0DE7"/>
    <w:rsid w:val="00AD1BF5"/>
    <w:rsid w:val="00AD7C6F"/>
    <w:rsid w:val="00AE367B"/>
    <w:rsid w:val="00AE67E4"/>
    <w:rsid w:val="00AF2CD1"/>
    <w:rsid w:val="00AF43A5"/>
    <w:rsid w:val="00AF4566"/>
    <w:rsid w:val="00AF499E"/>
    <w:rsid w:val="00AF4ADE"/>
    <w:rsid w:val="00AF5B37"/>
    <w:rsid w:val="00AF69F6"/>
    <w:rsid w:val="00B01ACE"/>
    <w:rsid w:val="00B01E9C"/>
    <w:rsid w:val="00B0247A"/>
    <w:rsid w:val="00B041CE"/>
    <w:rsid w:val="00B07498"/>
    <w:rsid w:val="00B10487"/>
    <w:rsid w:val="00B11EEA"/>
    <w:rsid w:val="00B13AF3"/>
    <w:rsid w:val="00B16673"/>
    <w:rsid w:val="00B16FCE"/>
    <w:rsid w:val="00B2157C"/>
    <w:rsid w:val="00B22223"/>
    <w:rsid w:val="00B23111"/>
    <w:rsid w:val="00B239A5"/>
    <w:rsid w:val="00B24A4E"/>
    <w:rsid w:val="00B25857"/>
    <w:rsid w:val="00B25C30"/>
    <w:rsid w:val="00B3101A"/>
    <w:rsid w:val="00B36C94"/>
    <w:rsid w:val="00B47A92"/>
    <w:rsid w:val="00B54465"/>
    <w:rsid w:val="00B54A22"/>
    <w:rsid w:val="00B60B4B"/>
    <w:rsid w:val="00B61E09"/>
    <w:rsid w:val="00B64B91"/>
    <w:rsid w:val="00B655A2"/>
    <w:rsid w:val="00B71778"/>
    <w:rsid w:val="00B7399E"/>
    <w:rsid w:val="00B747A4"/>
    <w:rsid w:val="00B8744F"/>
    <w:rsid w:val="00B91279"/>
    <w:rsid w:val="00B9199D"/>
    <w:rsid w:val="00B950A6"/>
    <w:rsid w:val="00B95C80"/>
    <w:rsid w:val="00BA1A3D"/>
    <w:rsid w:val="00BA53C4"/>
    <w:rsid w:val="00BA597C"/>
    <w:rsid w:val="00BB539E"/>
    <w:rsid w:val="00BB794E"/>
    <w:rsid w:val="00BB7C80"/>
    <w:rsid w:val="00BC24BE"/>
    <w:rsid w:val="00BD089C"/>
    <w:rsid w:val="00BD11DE"/>
    <w:rsid w:val="00BD374C"/>
    <w:rsid w:val="00BD42D8"/>
    <w:rsid w:val="00BD5E2E"/>
    <w:rsid w:val="00BD5F51"/>
    <w:rsid w:val="00BD7129"/>
    <w:rsid w:val="00BD7ACD"/>
    <w:rsid w:val="00BE0875"/>
    <w:rsid w:val="00BE41EB"/>
    <w:rsid w:val="00BE7412"/>
    <w:rsid w:val="00BF04E8"/>
    <w:rsid w:val="00BF241B"/>
    <w:rsid w:val="00BF3D69"/>
    <w:rsid w:val="00BF75C7"/>
    <w:rsid w:val="00BF7658"/>
    <w:rsid w:val="00BF79A7"/>
    <w:rsid w:val="00BF7EF8"/>
    <w:rsid w:val="00C00F0F"/>
    <w:rsid w:val="00C011C2"/>
    <w:rsid w:val="00C0449C"/>
    <w:rsid w:val="00C049B0"/>
    <w:rsid w:val="00C04B71"/>
    <w:rsid w:val="00C07FCB"/>
    <w:rsid w:val="00C11484"/>
    <w:rsid w:val="00C1171D"/>
    <w:rsid w:val="00C13253"/>
    <w:rsid w:val="00C14A7A"/>
    <w:rsid w:val="00C22326"/>
    <w:rsid w:val="00C250AC"/>
    <w:rsid w:val="00C264AE"/>
    <w:rsid w:val="00C27E99"/>
    <w:rsid w:val="00C304E2"/>
    <w:rsid w:val="00C30F18"/>
    <w:rsid w:val="00C3303D"/>
    <w:rsid w:val="00C354E1"/>
    <w:rsid w:val="00C36151"/>
    <w:rsid w:val="00C36557"/>
    <w:rsid w:val="00C42D6A"/>
    <w:rsid w:val="00C43F63"/>
    <w:rsid w:val="00C44AF1"/>
    <w:rsid w:val="00C52277"/>
    <w:rsid w:val="00C526D6"/>
    <w:rsid w:val="00C5496D"/>
    <w:rsid w:val="00C564B1"/>
    <w:rsid w:val="00C56ECA"/>
    <w:rsid w:val="00C57531"/>
    <w:rsid w:val="00C57A6F"/>
    <w:rsid w:val="00C65CBE"/>
    <w:rsid w:val="00C67A9A"/>
    <w:rsid w:val="00C71306"/>
    <w:rsid w:val="00C7418C"/>
    <w:rsid w:val="00C75113"/>
    <w:rsid w:val="00C76114"/>
    <w:rsid w:val="00C76849"/>
    <w:rsid w:val="00C80CB9"/>
    <w:rsid w:val="00C83866"/>
    <w:rsid w:val="00C87526"/>
    <w:rsid w:val="00C87A3C"/>
    <w:rsid w:val="00C90F0F"/>
    <w:rsid w:val="00C913FC"/>
    <w:rsid w:val="00C951A1"/>
    <w:rsid w:val="00CA145F"/>
    <w:rsid w:val="00CA1665"/>
    <w:rsid w:val="00CA29CA"/>
    <w:rsid w:val="00CA2A43"/>
    <w:rsid w:val="00CA4785"/>
    <w:rsid w:val="00CA4A3F"/>
    <w:rsid w:val="00CA56D8"/>
    <w:rsid w:val="00CA59B8"/>
    <w:rsid w:val="00CA704F"/>
    <w:rsid w:val="00CA7B42"/>
    <w:rsid w:val="00CB4B47"/>
    <w:rsid w:val="00CB5A70"/>
    <w:rsid w:val="00CB67AE"/>
    <w:rsid w:val="00CB753F"/>
    <w:rsid w:val="00CC23A9"/>
    <w:rsid w:val="00CC59C0"/>
    <w:rsid w:val="00CC7BE3"/>
    <w:rsid w:val="00CD2C70"/>
    <w:rsid w:val="00CD340C"/>
    <w:rsid w:val="00CD5F70"/>
    <w:rsid w:val="00CD61E8"/>
    <w:rsid w:val="00CD6939"/>
    <w:rsid w:val="00CD6F13"/>
    <w:rsid w:val="00CE0E00"/>
    <w:rsid w:val="00CE3C6F"/>
    <w:rsid w:val="00CE4D4F"/>
    <w:rsid w:val="00CE655B"/>
    <w:rsid w:val="00CE7F18"/>
    <w:rsid w:val="00CECABF"/>
    <w:rsid w:val="00CF2EAB"/>
    <w:rsid w:val="00CF40DD"/>
    <w:rsid w:val="00CF5622"/>
    <w:rsid w:val="00CF6104"/>
    <w:rsid w:val="00CF64AB"/>
    <w:rsid w:val="00D00DA6"/>
    <w:rsid w:val="00D02769"/>
    <w:rsid w:val="00D02B2C"/>
    <w:rsid w:val="00D034A8"/>
    <w:rsid w:val="00D0762B"/>
    <w:rsid w:val="00D10BEF"/>
    <w:rsid w:val="00D1219F"/>
    <w:rsid w:val="00D22F46"/>
    <w:rsid w:val="00D23B25"/>
    <w:rsid w:val="00D24434"/>
    <w:rsid w:val="00D27A12"/>
    <w:rsid w:val="00D31EFF"/>
    <w:rsid w:val="00D330B8"/>
    <w:rsid w:val="00D365C8"/>
    <w:rsid w:val="00D401BF"/>
    <w:rsid w:val="00D455CB"/>
    <w:rsid w:val="00D504C8"/>
    <w:rsid w:val="00D52599"/>
    <w:rsid w:val="00D53091"/>
    <w:rsid w:val="00D539C1"/>
    <w:rsid w:val="00D55110"/>
    <w:rsid w:val="00D55350"/>
    <w:rsid w:val="00D56004"/>
    <w:rsid w:val="00D57BFF"/>
    <w:rsid w:val="00D61D5C"/>
    <w:rsid w:val="00D63063"/>
    <w:rsid w:val="00D71C59"/>
    <w:rsid w:val="00D71DF1"/>
    <w:rsid w:val="00D75E7E"/>
    <w:rsid w:val="00D7701E"/>
    <w:rsid w:val="00D77A41"/>
    <w:rsid w:val="00D80F2D"/>
    <w:rsid w:val="00D81FC5"/>
    <w:rsid w:val="00D83502"/>
    <w:rsid w:val="00D8503E"/>
    <w:rsid w:val="00D86616"/>
    <w:rsid w:val="00D877D0"/>
    <w:rsid w:val="00D9707A"/>
    <w:rsid w:val="00D975BA"/>
    <w:rsid w:val="00DA12ED"/>
    <w:rsid w:val="00DA5709"/>
    <w:rsid w:val="00DA7A11"/>
    <w:rsid w:val="00DB3582"/>
    <w:rsid w:val="00DB5DDB"/>
    <w:rsid w:val="00DC0C20"/>
    <w:rsid w:val="00DC1DA7"/>
    <w:rsid w:val="00DC2F25"/>
    <w:rsid w:val="00DC4097"/>
    <w:rsid w:val="00DC4D0F"/>
    <w:rsid w:val="00DC5970"/>
    <w:rsid w:val="00DC64A7"/>
    <w:rsid w:val="00DD030C"/>
    <w:rsid w:val="00DD0772"/>
    <w:rsid w:val="00DD5177"/>
    <w:rsid w:val="00DD6776"/>
    <w:rsid w:val="00DD6DEE"/>
    <w:rsid w:val="00DD71E7"/>
    <w:rsid w:val="00DE0A89"/>
    <w:rsid w:val="00DE1D29"/>
    <w:rsid w:val="00DE3E1E"/>
    <w:rsid w:val="00DE50EC"/>
    <w:rsid w:val="00DE53B1"/>
    <w:rsid w:val="00DE5C89"/>
    <w:rsid w:val="00DF028B"/>
    <w:rsid w:val="00DF15F6"/>
    <w:rsid w:val="00DF43E5"/>
    <w:rsid w:val="00DF5A9F"/>
    <w:rsid w:val="00DF6024"/>
    <w:rsid w:val="00E00043"/>
    <w:rsid w:val="00E02A9D"/>
    <w:rsid w:val="00E02D74"/>
    <w:rsid w:val="00E03113"/>
    <w:rsid w:val="00E03547"/>
    <w:rsid w:val="00E04BF3"/>
    <w:rsid w:val="00E06FEF"/>
    <w:rsid w:val="00E07D18"/>
    <w:rsid w:val="00E1009E"/>
    <w:rsid w:val="00E12904"/>
    <w:rsid w:val="00E135E2"/>
    <w:rsid w:val="00E13662"/>
    <w:rsid w:val="00E1449D"/>
    <w:rsid w:val="00E175D9"/>
    <w:rsid w:val="00E24B69"/>
    <w:rsid w:val="00E2536A"/>
    <w:rsid w:val="00E27C56"/>
    <w:rsid w:val="00E27D11"/>
    <w:rsid w:val="00E30449"/>
    <w:rsid w:val="00E364C9"/>
    <w:rsid w:val="00E37F90"/>
    <w:rsid w:val="00E40110"/>
    <w:rsid w:val="00E40153"/>
    <w:rsid w:val="00E41011"/>
    <w:rsid w:val="00E41135"/>
    <w:rsid w:val="00E4154F"/>
    <w:rsid w:val="00E4269D"/>
    <w:rsid w:val="00E44B96"/>
    <w:rsid w:val="00E54445"/>
    <w:rsid w:val="00E5458C"/>
    <w:rsid w:val="00E56886"/>
    <w:rsid w:val="00E57606"/>
    <w:rsid w:val="00E57A8F"/>
    <w:rsid w:val="00E60985"/>
    <w:rsid w:val="00E609E8"/>
    <w:rsid w:val="00E61525"/>
    <w:rsid w:val="00E63E5B"/>
    <w:rsid w:val="00E654A2"/>
    <w:rsid w:val="00E70BB4"/>
    <w:rsid w:val="00E71C9D"/>
    <w:rsid w:val="00E7496C"/>
    <w:rsid w:val="00E74BFC"/>
    <w:rsid w:val="00E754B4"/>
    <w:rsid w:val="00E75767"/>
    <w:rsid w:val="00E77492"/>
    <w:rsid w:val="00E81ABC"/>
    <w:rsid w:val="00E8589A"/>
    <w:rsid w:val="00E863B8"/>
    <w:rsid w:val="00E87B54"/>
    <w:rsid w:val="00E9136C"/>
    <w:rsid w:val="00E939C7"/>
    <w:rsid w:val="00EA05D2"/>
    <w:rsid w:val="00EA2298"/>
    <w:rsid w:val="00EA3027"/>
    <w:rsid w:val="00EA3659"/>
    <w:rsid w:val="00EA5882"/>
    <w:rsid w:val="00EA6415"/>
    <w:rsid w:val="00EB0D34"/>
    <w:rsid w:val="00EB6390"/>
    <w:rsid w:val="00EB7CCD"/>
    <w:rsid w:val="00EC0DDC"/>
    <w:rsid w:val="00EC1ECD"/>
    <w:rsid w:val="00EC2165"/>
    <w:rsid w:val="00EC357E"/>
    <w:rsid w:val="00EC6687"/>
    <w:rsid w:val="00EC6F03"/>
    <w:rsid w:val="00EC7228"/>
    <w:rsid w:val="00ED2395"/>
    <w:rsid w:val="00ED2DC2"/>
    <w:rsid w:val="00EE2002"/>
    <w:rsid w:val="00EE2200"/>
    <w:rsid w:val="00EE36F8"/>
    <w:rsid w:val="00EE51DC"/>
    <w:rsid w:val="00EF04AC"/>
    <w:rsid w:val="00EF05C0"/>
    <w:rsid w:val="00EF071A"/>
    <w:rsid w:val="00EF1A6E"/>
    <w:rsid w:val="00EF430D"/>
    <w:rsid w:val="00EF471E"/>
    <w:rsid w:val="00EF5C74"/>
    <w:rsid w:val="00EF5FA1"/>
    <w:rsid w:val="00F00536"/>
    <w:rsid w:val="00F04324"/>
    <w:rsid w:val="00F05735"/>
    <w:rsid w:val="00F073EB"/>
    <w:rsid w:val="00F11346"/>
    <w:rsid w:val="00F113DD"/>
    <w:rsid w:val="00F11769"/>
    <w:rsid w:val="00F137BD"/>
    <w:rsid w:val="00F14B31"/>
    <w:rsid w:val="00F1781D"/>
    <w:rsid w:val="00F178A4"/>
    <w:rsid w:val="00F246A5"/>
    <w:rsid w:val="00F25874"/>
    <w:rsid w:val="00F2687C"/>
    <w:rsid w:val="00F3202A"/>
    <w:rsid w:val="00F3232F"/>
    <w:rsid w:val="00F33313"/>
    <w:rsid w:val="00F34FCF"/>
    <w:rsid w:val="00F36C6C"/>
    <w:rsid w:val="00F42E6B"/>
    <w:rsid w:val="00F43B8E"/>
    <w:rsid w:val="00F464BD"/>
    <w:rsid w:val="00F47F44"/>
    <w:rsid w:val="00F5131E"/>
    <w:rsid w:val="00F533EF"/>
    <w:rsid w:val="00F61212"/>
    <w:rsid w:val="00F6129C"/>
    <w:rsid w:val="00F70568"/>
    <w:rsid w:val="00F720EC"/>
    <w:rsid w:val="00F74531"/>
    <w:rsid w:val="00F774D5"/>
    <w:rsid w:val="00F77B3B"/>
    <w:rsid w:val="00F821E1"/>
    <w:rsid w:val="00F85F91"/>
    <w:rsid w:val="00F862C7"/>
    <w:rsid w:val="00F915C8"/>
    <w:rsid w:val="00F93EDA"/>
    <w:rsid w:val="00F95369"/>
    <w:rsid w:val="00FA23CE"/>
    <w:rsid w:val="00FA529F"/>
    <w:rsid w:val="00FB0387"/>
    <w:rsid w:val="00FB20BD"/>
    <w:rsid w:val="00FB3860"/>
    <w:rsid w:val="00FC0489"/>
    <w:rsid w:val="00FC13A0"/>
    <w:rsid w:val="00FC1750"/>
    <w:rsid w:val="00FC247C"/>
    <w:rsid w:val="00FC26B5"/>
    <w:rsid w:val="00FD00B7"/>
    <w:rsid w:val="00FD152D"/>
    <w:rsid w:val="00FD1DB2"/>
    <w:rsid w:val="00FD2A5F"/>
    <w:rsid w:val="00FD3AE7"/>
    <w:rsid w:val="00FD4FB4"/>
    <w:rsid w:val="00FD5A17"/>
    <w:rsid w:val="00FE0269"/>
    <w:rsid w:val="00FE1FB6"/>
    <w:rsid w:val="00FE342B"/>
    <w:rsid w:val="00FE3723"/>
    <w:rsid w:val="00FE5DD2"/>
    <w:rsid w:val="00FE6029"/>
    <w:rsid w:val="00FF1892"/>
    <w:rsid w:val="00FF38F3"/>
    <w:rsid w:val="00FF7152"/>
    <w:rsid w:val="00FF7910"/>
    <w:rsid w:val="010BC38B"/>
    <w:rsid w:val="0210A1FF"/>
    <w:rsid w:val="030C54F7"/>
    <w:rsid w:val="03F1AED7"/>
    <w:rsid w:val="04D104C4"/>
    <w:rsid w:val="056488C2"/>
    <w:rsid w:val="0565D864"/>
    <w:rsid w:val="06EB2B86"/>
    <w:rsid w:val="07496932"/>
    <w:rsid w:val="07EB8EBA"/>
    <w:rsid w:val="08758387"/>
    <w:rsid w:val="08894C4E"/>
    <w:rsid w:val="092A817B"/>
    <w:rsid w:val="0B1F31C9"/>
    <w:rsid w:val="0B6E577C"/>
    <w:rsid w:val="0D33FB80"/>
    <w:rsid w:val="0E4A24E4"/>
    <w:rsid w:val="0EAD03DE"/>
    <w:rsid w:val="0EB7ED23"/>
    <w:rsid w:val="0EEA834F"/>
    <w:rsid w:val="134B76EE"/>
    <w:rsid w:val="135C9370"/>
    <w:rsid w:val="1363634D"/>
    <w:rsid w:val="14EABF70"/>
    <w:rsid w:val="150F7606"/>
    <w:rsid w:val="1520ADA9"/>
    <w:rsid w:val="17AD20F8"/>
    <w:rsid w:val="17EA4690"/>
    <w:rsid w:val="186620D1"/>
    <w:rsid w:val="1867D620"/>
    <w:rsid w:val="186EA9AA"/>
    <w:rsid w:val="18D04F17"/>
    <w:rsid w:val="19AFD2C4"/>
    <w:rsid w:val="1A3B4260"/>
    <w:rsid w:val="1BCB4391"/>
    <w:rsid w:val="1CD09A7C"/>
    <w:rsid w:val="1EAEDAFB"/>
    <w:rsid w:val="1F3BB18C"/>
    <w:rsid w:val="2422C13A"/>
    <w:rsid w:val="244DD865"/>
    <w:rsid w:val="256276E0"/>
    <w:rsid w:val="258BFD2D"/>
    <w:rsid w:val="25ADFC99"/>
    <w:rsid w:val="261ECAFE"/>
    <w:rsid w:val="271E61AF"/>
    <w:rsid w:val="296121E7"/>
    <w:rsid w:val="2B074538"/>
    <w:rsid w:val="2B61F64F"/>
    <w:rsid w:val="2C7B0519"/>
    <w:rsid w:val="2CE69217"/>
    <w:rsid w:val="2CF91C8A"/>
    <w:rsid w:val="2EE1E9D4"/>
    <w:rsid w:val="2F52108B"/>
    <w:rsid w:val="301CDEF2"/>
    <w:rsid w:val="312E4D7F"/>
    <w:rsid w:val="316858A5"/>
    <w:rsid w:val="32483BDC"/>
    <w:rsid w:val="32C0C3D9"/>
    <w:rsid w:val="3358B6ED"/>
    <w:rsid w:val="33746687"/>
    <w:rsid w:val="33CC67BB"/>
    <w:rsid w:val="34B02D34"/>
    <w:rsid w:val="353AA090"/>
    <w:rsid w:val="36146AAC"/>
    <w:rsid w:val="37B17B2A"/>
    <w:rsid w:val="3822F0FE"/>
    <w:rsid w:val="384AB16B"/>
    <w:rsid w:val="38C8856D"/>
    <w:rsid w:val="395020D4"/>
    <w:rsid w:val="3A60E162"/>
    <w:rsid w:val="3ADFD6AE"/>
    <w:rsid w:val="3CACD827"/>
    <w:rsid w:val="3D131E58"/>
    <w:rsid w:val="3E7B5E5A"/>
    <w:rsid w:val="42D9C403"/>
    <w:rsid w:val="432FEA57"/>
    <w:rsid w:val="44833E2C"/>
    <w:rsid w:val="45C6F569"/>
    <w:rsid w:val="46C079A5"/>
    <w:rsid w:val="470D91D4"/>
    <w:rsid w:val="482F3DB5"/>
    <w:rsid w:val="499DA6C2"/>
    <w:rsid w:val="4B0D590D"/>
    <w:rsid w:val="4BC5C8F8"/>
    <w:rsid w:val="4C4E188A"/>
    <w:rsid w:val="4C793B17"/>
    <w:rsid w:val="4CCF4FF9"/>
    <w:rsid w:val="4D6189C5"/>
    <w:rsid w:val="4E1A926D"/>
    <w:rsid w:val="4EF00C42"/>
    <w:rsid w:val="50DF9310"/>
    <w:rsid w:val="50E14082"/>
    <w:rsid w:val="52ED38DA"/>
    <w:rsid w:val="531476B8"/>
    <w:rsid w:val="53A11FB6"/>
    <w:rsid w:val="53C026FC"/>
    <w:rsid w:val="53E18770"/>
    <w:rsid w:val="54662137"/>
    <w:rsid w:val="548C6AEF"/>
    <w:rsid w:val="54A1CC70"/>
    <w:rsid w:val="557C4D4D"/>
    <w:rsid w:val="55AAC507"/>
    <w:rsid w:val="576031CC"/>
    <w:rsid w:val="5B527B81"/>
    <w:rsid w:val="5CD97522"/>
    <w:rsid w:val="5DFB50F1"/>
    <w:rsid w:val="5E68DEC8"/>
    <w:rsid w:val="5EF0C675"/>
    <w:rsid w:val="600DB9A3"/>
    <w:rsid w:val="60298F78"/>
    <w:rsid w:val="6102CB6E"/>
    <w:rsid w:val="626A867C"/>
    <w:rsid w:val="660A04DF"/>
    <w:rsid w:val="66F21261"/>
    <w:rsid w:val="67AFFB3E"/>
    <w:rsid w:val="68B33CCA"/>
    <w:rsid w:val="69CC848C"/>
    <w:rsid w:val="69F825CC"/>
    <w:rsid w:val="6ACD6983"/>
    <w:rsid w:val="6D903BBF"/>
    <w:rsid w:val="6E6C0916"/>
    <w:rsid w:val="6ECB8FE6"/>
    <w:rsid w:val="6FAE24C1"/>
    <w:rsid w:val="719408BC"/>
    <w:rsid w:val="7225626B"/>
    <w:rsid w:val="732E7507"/>
    <w:rsid w:val="75758EDB"/>
    <w:rsid w:val="76C7A50B"/>
    <w:rsid w:val="76EB4574"/>
    <w:rsid w:val="77BF0014"/>
    <w:rsid w:val="77DA9BB9"/>
    <w:rsid w:val="7829F89A"/>
    <w:rsid w:val="78CF03BF"/>
    <w:rsid w:val="799F098F"/>
    <w:rsid w:val="7B497D13"/>
    <w:rsid w:val="7B65E7B1"/>
    <w:rsid w:val="7B8EBED3"/>
    <w:rsid w:val="7BA03390"/>
    <w:rsid w:val="7C8973D5"/>
    <w:rsid w:val="7D244F1C"/>
    <w:rsid w:val="7DB3482F"/>
    <w:rsid w:val="7F53F7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4D3B5"/>
  <w15:chartTrackingRefBased/>
  <w15:docId w15:val="{10FA55C8-81D8-4FA3-B4DD-45D23343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8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8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8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8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8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8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8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8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874"/>
    <w:rPr>
      <w:rFonts w:eastAsiaTheme="majorEastAsia" w:cstheme="majorBidi"/>
      <w:color w:val="272727" w:themeColor="text1" w:themeTint="D8"/>
    </w:rPr>
  </w:style>
  <w:style w:type="paragraph" w:styleId="Title">
    <w:name w:val="Title"/>
    <w:basedOn w:val="Normal"/>
    <w:next w:val="Normal"/>
    <w:link w:val="TitleChar"/>
    <w:uiPriority w:val="10"/>
    <w:qFormat/>
    <w:rsid w:val="00F25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874"/>
    <w:pPr>
      <w:spacing w:before="160"/>
      <w:jc w:val="center"/>
    </w:pPr>
    <w:rPr>
      <w:i/>
      <w:iCs/>
      <w:color w:val="404040" w:themeColor="text1" w:themeTint="BF"/>
    </w:rPr>
  </w:style>
  <w:style w:type="character" w:customStyle="1" w:styleId="QuoteChar">
    <w:name w:val="Quote Char"/>
    <w:basedOn w:val="DefaultParagraphFont"/>
    <w:link w:val="Quote"/>
    <w:uiPriority w:val="29"/>
    <w:rsid w:val="00F25874"/>
    <w:rPr>
      <w:i/>
      <w:iCs/>
      <w:color w:val="404040" w:themeColor="text1" w:themeTint="BF"/>
    </w:rPr>
  </w:style>
  <w:style w:type="paragraph" w:styleId="ListParagraph">
    <w:name w:val="List Paragraph"/>
    <w:basedOn w:val="Normal"/>
    <w:uiPriority w:val="1"/>
    <w:qFormat/>
    <w:rsid w:val="00F25874"/>
    <w:pPr>
      <w:ind w:left="720"/>
      <w:contextualSpacing/>
    </w:pPr>
  </w:style>
  <w:style w:type="character" w:styleId="IntenseEmphasis">
    <w:name w:val="Intense Emphasis"/>
    <w:basedOn w:val="DefaultParagraphFont"/>
    <w:uiPriority w:val="21"/>
    <w:qFormat/>
    <w:rsid w:val="00F25874"/>
    <w:rPr>
      <w:i/>
      <w:iCs/>
      <w:color w:val="0F4761" w:themeColor="accent1" w:themeShade="BF"/>
    </w:rPr>
  </w:style>
  <w:style w:type="paragraph" w:styleId="IntenseQuote">
    <w:name w:val="Intense Quote"/>
    <w:basedOn w:val="Normal"/>
    <w:next w:val="Normal"/>
    <w:link w:val="IntenseQuoteChar"/>
    <w:uiPriority w:val="30"/>
    <w:qFormat/>
    <w:rsid w:val="00F25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874"/>
    <w:rPr>
      <w:i/>
      <w:iCs/>
      <w:color w:val="0F4761" w:themeColor="accent1" w:themeShade="BF"/>
    </w:rPr>
  </w:style>
  <w:style w:type="character" w:styleId="IntenseReference">
    <w:name w:val="Intense Reference"/>
    <w:basedOn w:val="DefaultParagraphFont"/>
    <w:uiPriority w:val="32"/>
    <w:qFormat/>
    <w:rsid w:val="00F25874"/>
    <w:rPr>
      <w:b/>
      <w:bCs/>
      <w:smallCaps/>
      <w:color w:val="0F4761" w:themeColor="accent1" w:themeShade="BF"/>
      <w:spacing w:val="5"/>
    </w:rPr>
  </w:style>
  <w:style w:type="character" w:styleId="Hyperlink">
    <w:name w:val="Hyperlink"/>
    <w:basedOn w:val="DefaultParagraphFont"/>
    <w:uiPriority w:val="99"/>
    <w:unhideWhenUsed/>
    <w:rsid w:val="006913E9"/>
    <w:rPr>
      <w:color w:val="467886" w:themeColor="hyperlink"/>
      <w:u w:val="single"/>
    </w:rPr>
  </w:style>
  <w:style w:type="character" w:styleId="UnresolvedMention">
    <w:name w:val="Unresolved Mention"/>
    <w:basedOn w:val="DefaultParagraphFont"/>
    <w:uiPriority w:val="99"/>
    <w:semiHidden/>
    <w:unhideWhenUsed/>
    <w:rsid w:val="006913E9"/>
    <w:rPr>
      <w:color w:val="605E5C"/>
      <w:shd w:val="clear" w:color="auto" w:fill="E1DFDD"/>
    </w:rPr>
  </w:style>
  <w:style w:type="table" w:styleId="TableGrid">
    <w:name w:val="Table Grid"/>
    <w:basedOn w:val="TableNormal"/>
    <w:uiPriority w:val="39"/>
    <w:rsid w:val="002C55B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75DE4"/>
    <w:pPr>
      <w:spacing w:after="120"/>
    </w:pPr>
  </w:style>
  <w:style w:type="character" w:customStyle="1" w:styleId="BodyTextChar">
    <w:name w:val="Body Text Char"/>
    <w:basedOn w:val="DefaultParagraphFont"/>
    <w:link w:val="BodyText"/>
    <w:uiPriority w:val="99"/>
    <w:semiHidden/>
    <w:rsid w:val="00475DE4"/>
  </w:style>
  <w:style w:type="paragraph" w:styleId="Header">
    <w:name w:val="header"/>
    <w:basedOn w:val="Normal"/>
    <w:link w:val="HeaderChar"/>
    <w:uiPriority w:val="99"/>
    <w:unhideWhenUsed/>
    <w:rsid w:val="00DF1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5F6"/>
  </w:style>
  <w:style w:type="paragraph" w:styleId="Footer">
    <w:name w:val="footer"/>
    <w:basedOn w:val="Normal"/>
    <w:link w:val="FooterChar"/>
    <w:uiPriority w:val="99"/>
    <w:unhideWhenUsed/>
    <w:rsid w:val="00DF1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5F6"/>
  </w:style>
  <w:style w:type="character" w:customStyle="1" w:styleId="normaltextrun">
    <w:name w:val="normaltextrun"/>
    <w:basedOn w:val="DefaultParagraphFont"/>
    <w:rsid w:val="00C90F0F"/>
  </w:style>
  <w:style w:type="character" w:customStyle="1" w:styleId="eop">
    <w:name w:val="eop"/>
    <w:basedOn w:val="DefaultParagraphFont"/>
    <w:rsid w:val="00C90F0F"/>
  </w:style>
  <w:style w:type="paragraph" w:styleId="CommentText">
    <w:name w:val="annotation text"/>
    <w:basedOn w:val="Normal"/>
    <w:link w:val="CommentTextChar"/>
    <w:uiPriority w:val="99"/>
    <w:semiHidden/>
    <w:unhideWhenUsed/>
    <w:rsid w:val="0056020F"/>
    <w:pPr>
      <w:spacing w:line="240" w:lineRule="auto"/>
    </w:pPr>
    <w:rPr>
      <w:sz w:val="20"/>
      <w:szCs w:val="20"/>
    </w:rPr>
  </w:style>
  <w:style w:type="character" w:customStyle="1" w:styleId="CommentTextChar">
    <w:name w:val="Comment Text Char"/>
    <w:basedOn w:val="DefaultParagraphFont"/>
    <w:link w:val="CommentText"/>
    <w:uiPriority w:val="99"/>
    <w:semiHidden/>
    <w:rsid w:val="0056020F"/>
    <w:rPr>
      <w:sz w:val="20"/>
      <w:szCs w:val="20"/>
    </w:rPr>
  </w:style>
  <w:style w:type="character" w:styleId="CommentReference">
    <w:name w:val="annotation reference"/>
    <w:basedOn w:val="DefaultParagraphFont"/>
    <w:uiPriority w:val="99"/>
    <w:semiHidden/>
    <w:unhideWhenUsed/>
    <w:rsid w:val="0056020F"/>
    <w:rPr>
      <w:sz w:val="16"/>
      <w:szCs w:val="16"/>
    </w:rPr>
  </w:style>
  <w:style w:type="paragraph" w:customStyle="1" w:styleId="paragraph">
    <w:name w:val="paragraph"/>
    <w:basedOn w:val="Normal"/>
    <w:rsid w:val="0089207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13706">
      <w:bodyDiv w:val="1"/>
      <w:marLeft w:val="0"/>
      <w:marRight w:val="0"/>
      <w:marTop w:val="0"/>
      <w:marBottom w:val="0"/>
      <w:divBdr>
        <w:top w:val="none" w:sz="0" w:space="0" w:color="auto"/>
        <w:left w:val="none" w:sz="0" w:space="0" w:color="auto"/>
        <w:bottom w:val="none" w:sz="0" w:space="0" w:color="auto"/>
        <w:right w:val="none" w:sz="0" w:space="0" w:color="auto"/>
      </w:divBdr>
    </w:div>
    <w:div w:id="448283912">
      <w:bodyDiv w:val="1"/>
      <w:marLeft w:val="0"/>
      <w:marRight w:val="0"/>
      <w:marTop w:val="0"/>
      <w:marBottom w:val="0"/>
      <w:divBdr>
        <w:top w:val="none" w:sz="0" w:space="0" w:color="auto"/>
        <w:left w:val="none" w:sz="0" w:space="0" w:color="auto"/>
        <w:bottom w:val="none" w:sz="0" w:space="0" w:color="auto"/>
        <w:right w:val="none" w:sz="0" w:space="0" w:color="auto"/>
      </w:divBdr>
      <w:divsChild>
        <w:div w:id="122886328">
          <w:marLeft w:val="0"/>
          <w:marRight w:val="0"/>
          <w:marTop w:val="0"/>
          <w:marBottom w:val="0"/>
          <w:divBdr>
            <w:top w:val="none" w:sz="0" w:space="0" w:color="auto"/>
            <w:left w:val="none" w:sz="0" w:space="0" w:color="auto"/>
            <w:bottom w:val="none" w:sz="0" w:space="0" w:color="auto"/>
            <w:right w:val="none" w:sz="0" w:space="0" w:color="auto"/>
          </w:divBdr>
        </w:div>
        <w:div w:id="166678067">
          <w:marLeft w:val="0"/>
          <w:marRight w:val="0"/>
          <w:marTop w:val="0"/>
          <w:marBottom w:val="0"/>
          <w:divBdr>
            <w:top w:val="none" w:sz="0" w:space="0" w:color="auto"/>
            <w:left w:val="none" w:sz="0" w:space="0" w:color="auto"/>
            <w:bottom w:val="none" w:sz="0" w:space="0" w:color="auto"/>
            <w:right w:val="none" w:sz="0" w:space="0" w:color="auto"/>
          </w:divBdr>
        </w:div>
        <w:div w:id="392503739">
          <w:marLeft w:val="0"/>
          <w:marRight w:val="0"/>
          <w:marTop w:val="0"/>
          <w:marBottom w:val="0"/>
          <w:divBdr>
            <w:top w:val="none" w:sz="0" w:space="0" w:color="auto"/>
            <w:left w:val="none" w:sz="0" w:space="0" w:color="auto"/>
            <w:bottom w:val="none" w:sz="0" w:space="0" w:color="auto"/>
            <w:right w:val="none" w:sz="0" w:space="0" w:color="auto"/>
          </w:divBdr>
        </w:div>
        <w:div w:id="393161461">
          <w:marLeft w:val="0"/>
          <w:marRight w:val="0"/>
          <w:marTop w:val="0"/>
          <w:marBottom w:val="0"/>
          <w:divBdr>
            <w:top w:val="none" w:sz="0" w:space="0" w:color="auto"/>
            <w:left w:val="none" w:sz="0" w:space="0" w:color="auto"/>
            <w:bottom w:val="none" w:sz="0" w:space="0" w:color="auto"/>
            <w:right w:val="none" w:sz="0" w:space="0" w:color="auto"/>
          </w:divBdr>
          <w:divsChild>
            <w:div w:id="451477958">
              <w:marLeft w:val="0"/>
              <w:marRight w:val="0"/>
              <w:marTop w:val="30"/>
              <w:marBottom w:val="30"/>
              <w:divBdr>
                <w:top w:val="none" w:sz="0" w:space="0" w:color="auto"/>
                <w:left w:val="none" w:sz="0" w:space="0" w:color="auto"/>
                <w:bottom w:val="none" w:sz="0" w:space="0" w:color="auto"/>
                <w:right w:val="none" w:sz="0" w:space="0" w:color="auto"/>
              </w:divBdr>
              <w:divsChild>
                <w:div w:id="79986644">
                  <w:marLeft w:val="0"/>
                  <w:marRight w:val="0"/>
                  <w:marTop w:val="0"/>
                  <w:marBottom w:val="0"/>
                  <w:divBdr>
                    <w:top w:val="none" w:sz="0" w:space="0" w:color="auto"/>
                    <w:left w:val="none" w:sz="0" w:space="0" w:color="auto"/>
                    <w:bottom w:val="none" w:sz="0" w:space="0" w:color="auto"/>
                    <w:right w:val="none" w:sz="0" w:space="0" w:color="auto"/>
                  </w:divBdr>
                  <w:divsChild>
                    <w:div w:id="928974361">
                      <w:marLeft w:val="0"/>
                      <w:marRight w:val="0"/>
                      <w:marTop w:val="0"/>
                      <w:marBottom w:val="0"/>
                      <w:divBdr>
                        <w:top w:val="none" w:sz="0" w:space="0" w:color="auto"/>
                        <w:left w:val="none" w:sz="0" w:space="0" w:color="auto"/>
                        <w:bottom w:val="none" w:sz="0" w:space="0" w:color="auto"/>
                        <w:right w:val="none" w:sz="0" w:space="0" w:color="auto"/>
                      </w:divBdr>
                    </w:div>
                  </w:divsChild>
                </w:div>
                <w:div w:id="168374094">
                  <w:marLeft w:val="0"/>
                  <w:marRight w:val="0"/>
                  <w:marTop w:val="0"/>
                  <w:marBottom w:val="0"/>
                  <w:divBdr>
                    <w:top w:val="none" w:sz="0" w:space="0" w:color="auto"/>
                    <w:left w:val="none" w:sz="0" w:space="0" w:color="auto"/>
                    <w:bottom w:val="none" w:sz="0" w:space="0" w:color="auto"/>
                    <w:right w:val="none" w:sz="0" w:space="0" w:color="auto"/>
                  </w:divBdr>
                  <w:divsChild>
                    <w:div w:id="66463563">
                      <w:marLeft w:val="0"/>
                      <w:marRight w:val="0"/>
                      <w:marTop w:val="0"/>
                      <w:marBottom w:val="0"/>
                      <w:divBdr>
                        <w:top w:val="none" w:sz="0" w:space="0" w:color="auto"/>
                        <w:left w:val="none" w:sz="0" w:space="0" w:color="auto"/>
                        <w:bottom w:val="none" w:sz="0" w:space="0" w:color="auto"/>
                        <w:right w:val="none" w:sz="0" w:space="0" w:color="auto"/>
                      </w:divBdr>
                    </w:div>
                  </w:divsChild>
                </w:div>
                <w:div w:id="409742245">
                  <w:marLeft w:val="0"/>
                  <w:marRight w:val="0"/>
                  <w:marTop w:val="0"/>
                  <w:marBottom w:val="0"/>
                  <w:divBdr>
                    <w:top w:val="none" w:sz="0" w:space="0" w:color="auto"/>
                    <w:left w:val="none" w:sz="0" w:space="0" w:color="auto"/>
                    <w:bottom w:val="none" w:sz="0" w:space="0" w:color="auto"/>
                    <w:right w:val="none" w:sz="0" w:space="0" w:color="auto"/>
                  </w:divBdr>
                  <w:divsChild>
                    <w:div w:id="1344627506">
                      <w:marLeft w:val="0"/>
                      <w:marRight w:val="0"/>
                      <w:marTop w:val="0"/>
                      <w:marBottom w:val="0"/>
                      <w:divBdr>
                        <w:top w:val="none" w:sz="0" w:space="0" w:color="auto"/>
                        <w:left w:val="none" w:sz="0" w:space="0" w:color="auto"/>
                        <w:bottom w:val="none" w:sz="0" w:space="0" w:color="auto"/>
                        <w:right w:val="none" w:sz="0" w:space="0" w:color="auto"/>
                      </w:divBdr>
                    </w:div>
                  </w:divsChild>
                </w:div>
                <w:div w:id="411390332">
                  <w:marLeft w:val="0"/>
                  <w:marRight w:val="0"/>
                  <w:marTop w:val="0"/>
                  <w:marBottom w:val="0"/>
                  <w:divBdr>
                    <w:top w:val="none" w:sz="0" w:space="0" w:color="auto"/>
                    <w:left w:val="none" w:sz="0" w:space="0" w:color="auto"/>
                    <w:bottom w:val="none" w:sz="0" w:space="0" w:color="auto"/>
                    <w:right w:val="none" w:sz="0" w:space="0" w:color="auto"/>
                  </w:divBdr>
                  <w:divsChild>
                    <w:div w:id="473915509">
                      <w:marLeft w:val="0"/>
                      <w:marRight w:val="0"/>
                      <w:marTop w:val="0"/>
                      <w:marBottom w:val="0"/>
                      <w:divBdr>
                        <w:top w:val="none" w:sz="0" w:space="0" w:color="auto"/>
                        <w:left w:val="none" w:sz="0" w:space="0" w:color="auto"/>
                        <w:bottom w:val="none" w:sz="0" w:space="0" w:color="auto"/>
                        <w:right w:val="none" w:sz="0" w:space="0" w:color="auto"/>
                      </w:divBdr>
                    </w:div>
                  </w:divsChild>
                </w:div>
                <w:div w:id="491870778">
                  <w:marLeft w:val="0"/>
                  <w:marRight w:val="0"/>
                  <w:marTop w:val="0"/>
                  <w:marBottom w:val="0"/>
                  <w:divBdr>
                    <w:top w:val="none" w:sz="0" w:space="0" w:color="auto"/>
                    <w:left w:val="none" w:sz="0" w:space="0" w:color="auto"/>
                    <w:bottom w:val="none" w:sz="0" w:space="0" w:color="auto"/>
                    <w:right w:val="none" w:sz="0" w:space="0" w:color="auto"/>
                  </w:divBdr>
                  <w:divsChild>
                    <w:div w:id="1869902967">
                      <w:marLeft w:val="0"/>
                      <w:marRight w:val="0"/>
                      <w:marTop w:val="0"/>
                      <w:marBottom w:val="0"/>
                      <w:divBdr>
                        <w:top w:val="none" w:sz="0" w:space="0" w:color="auto"/>
                        <w:left w:val="none" w:sz="0" w:space="0" w:color="auto"/>
                        <w:bottom w:val="none" w:sz="0" w:space="0" w:color="auto"/>
                        <w:right w:val="none" w:sz="0" w:space="0" w:color="auto"/>
                      </w:divBdr>
                    </w:div>
                  </w:divsChild>
                </w:div>
                <w:div w:id="793711492">
                  <w:marLeft w:val="0"/>
                  <w:marRight w:val="0"/>
                  <w:marTop w:val="0"/>
                  <w:marBottom w:val="0"/>
                  <w:divBdr>
                    <w:top w:val="none" w:sz="0" w:space="0" w:color="auto"/>
                    <w:left w:val="none" w:sz="0" w:space="0" w:color="auto"/>
                    <w:bottom w:val="none" w:sz="0" w:space="0" w:color="auto"/>
                    <w:right w:val="none" w:sz="0" w:space="0" w:color="auto"/>
                  </w:divBdr>
                  <w:divsChild>
                    <w:div w:id="179706272">
                      <w:marLeft w:val="0"/>
                      <w:marRight w:val="0"/>
                      <w:marTop w:val="0"/>
                      <w:marBottom w:val="0"/>
                      <w:divBdr>
                        <w:top w:val="none" w:sz="0" w:space="0" w:color="auto"/>
                        <w:left w:val="none" w:sz="0" w:space="0" w:color="auto"/>
                        <w:bottom w:val="none" w:sz="0" w:space="0" w:color="auto"/>
                        <w:right w:val="none" w:sz="0" w:space="0" w:color="auto"/>
                      </w:divBdr>
                    </w:div>
                  </w:divsChild>
                </w:div>
                <w:div w:id="1468551904">
                  <w:marLeft w:val="0"/>
                  <w:marRight w:val="0"/>
                  <w:marTop w:val="0"/>
                  <w:marBottom w:val="0"/>
                  <w:divBdr>
                    <w:top w:val="none" w:sz="0" w:space="0" w:color="auto"/>
                    <w:left w:val="none" w:sz="0" w:space="0" w:color="auto"/>
                    <w:bottom w:val="none" w:sz="0" w:space="0" w:color="auto"/>
                    <w:right w:val="none" w:sz="0" w:space="0" w:color="auto"/>
                  </w:divBdr>
                  <w:divsChild>
                    <w:div w:id="317536375">
                      <w:marLeft w:val="0"/>
                      <w:marRight w:val="0"/>
                      <w:marTop w:val="0"/>
                      <w:marBottom w:val="0"/>
                      <w:divBdr>
                        <w:top w:val="none" w:sz="0" w:space="0" w:color="auto"/>
                        <w:left w:val="none" w:sz="0" w:space="0" w:color="auto"/>
                        <w:bottom w:val="none" w:sz="0" w:space="0" w:color="auto"/>
                        <w:right w:val="none" w:sz="0" w:space="0" w:color="auto"/>
                      </w:divBdr>
                    </w:div>
                  </w:divsChild>
                </w:div>
                <w:div w:id="1568765539">
                  <w:marLeft w:val="0"/>
                  <w:marRight w:val="0"/>
                  <w:marTop w:val="0"/>
                  <w:marBottom w:val="0"/>
                  <w:divBdr>
                    <w:top w:val="none" w:sz="0" w:space="0" w:color="auto"/>
                    <w:left w:val="none" w:sz="0" w:space="0" w:color="auto"/>
                    <w:bottom w:val="none" w:sz="0" w:space="0" w:color="auto"/>
                    <w:right w:val="none" w:sz="0" w:space="0" w:color="auto"/>
                  </w:divBdr>
                  <w:divsChild>
                    <w:div w:id="833376971">
                      <w:marLeft w:val="0"/>
                      <w:marRight w:val="0"/>
                      <w:marTop w:val="0"/>
                      <w:marBottom w:val="0"/>
                      <w:divBdr>
                        <w:top w:val="none" w:sz="0" w:space="0" w:color="auto"/>
                        <w:left w:val="none" w:sz="0" w:space="0" w:color="auto"/>
                        <w:bottom w:val="none" w:sz="0" w:space="0" w:color="auto"/>
                        <w:right w:val="none" w:sz="0" w:space="0" w:color="auto"/>
                      </w:divBdr>
                    </w:div>
                  </w:divsChild>
                </w:div>
                <w:div w:id="1652975685">
                  <w:marLeft w:val="0"/>
                  <w:marRight w:val="0"/>
                  <w:marTop w:val="0"/>
                  <w:marBottom w:val="0"/>
                  <w:divBdr>
                    <w:top w:val="none" w:sz="0" w:space="0" w:color="auto"/>
                    <w:left w:val="none" w:sz="0" w:space="0" w:color="auto"/>
                    <w:bottom w:val="none" w:sz="0" w:space="0" w:color="auto"/>
                    <w:right w:val="none" w:sz="0" w:space="0" w:color="auto"/>
                  </w:divBdr>
                  <w:divsChild>
                    <w:div w:id="54746378">
                      <w:marLeft w:val="0"/>
                      <w:marRight w:val="0"/>
                      <w:marTop w:val="0"/>
                      <w:marBottom w:val="0"/>
                      <w:divBdr>
                        <w:top w:val="none" w:sz="0" w:space="0" w:color="auto"/>
                        <w:left w:val="none" w:sz="0" w:space="0" w:color="auto"/>
                        <w:bottom w:val="none" w:sz="0" w:space="0" w:color="auto"/>
                        <w:right w:val="none" w:sz="0" w:space="0" w:color="auto"/>
                      </w:divBdr>
                    </w:div>
                  </w:divsChild>
                </w:div>
                <w:div w:id="1750538380">
                  <w:marLeft w:val="0"/>
                  <w:marRight w:val="0"/>
                  <w:marTop w:val="0"/>
                  <w:marBottom w:val="0"/>
                  <w:divBdr>
                    <w:top w:val="none" w:sz="0" w:space="0" w:color="auto"/>
                    <w:left w:val="none" w:sz="0" w:space="0" w:color="auto"/>
                    <w:bottom w:val="none" w:sz="0" w:space="0" w:color="auto"/>
                    <w:right w:val="none" w:sz="0" w:space="0" w:color="auto"/>
                  </w:divBdr>
                  <w:divsChild>
                    <w:div w:id="1419329643">
                      <w:marLeft w:val="0"/>
                      <w:marRight w:val="0"/>
                      <w:marTop w:val="0"/>
                      <w:marBottom w:val="0"/>
                      <w:divBdr>
                        <w:top w:val="none" w:sz="0" w:space="0" w:color="auto"/>
                        <w:left w:val="none" w:sz="0" w:space="0" w:color="auto"/>
                        <w:bottom w:val="none" w:sz="0" w:space="0" w:color="auto"/>
                        <w:right w:val="none" w:sz="0" w:space="0" w:color="auto"/>
                      </w:divBdr>
                    </w:div>
                  </w:divsChild>
                </w:div>
                <w:div w:id="1751804237">
                  <w:marLeft w:val="0"/>
                  <w:marRight w:val="0"/>
                  <w:marTop w:val="0"/>
                  <w:marBottom w:val="0"/>
                  <w:divBdr>
                    <w:top w:val="none" w:sz="0" w:space="0" w:color="auto"/>
                    <w:left w:val="none" w:sz="0" w:space="0" w:color="auto"/>
                    <w:bottom w:val="none" w:sz="0" w:space="0" w:color="auto"/>
                    <w:right w:val="none" w:sz="0" w:space="0" w:color="auto"/>
                  </w:divBdr>
                  <w:divsChild>
                    <w:div w:id="1743868239">
                      <w:marLeft w:val="0"/>
                      <w:marRight w:val="0"/>
                      <w:marTop w:val="0"/>
                      <w:marBottom w:val="0"/>
                      <w:divBdr>
                        <w:top w:val="none" w:sz="0" w:space="0" w:color="auto"/>
                        <w:left w:val="none" w:sz="0" w:space="0" w:color="auto"/>
                        <w:bottom w:val="none" w:sz="0" w:space="0" w:color="auto"/>
                        <w:right w:val="none" w:sz="0" w:space="0" w:color="auto"/>
                      </w:divBdr>
                    </w:div>
                  </w:divsChild>
                </w:div>
                <w:div w:id="1793594953">
                  <w:marLeft w:val="0"/>
                  <w:marRight w:val="0"/>
                  <w:marTop w:val="0"/>
                  <w:marBottom w:val="0"/>
                  <w:divBdr>
                    <w:top w:val="none" w:sz="0" w:space="0" w:color="auto"/>
                    <w:left w:val="none" w:sz="0" w:space="0" w:color="auto"/>
                    <w:bottom w:val="none" w:sz="0" w:space="0" w:color="auto"/>
                    <w:right w:val="none" w:sz="0" w:space="0" w:color="auto"/>
                  </w:divBdr>
                  <w:divsChild>
                    <w:div w:id="871579952">
                      <w:marLeft w:val="0"/>
                      <w:marRight w:val="0"/>
                      <w:marTop w:val="0"/>
                      <w:marBottom w:val="0"/>
                      <w:divBdr>
                        <w:top w:val="none" w:sz="0" w:space="0" w:color="auto"/>
                        <w:left w:val="none" w:sz="0" w:space="0" w:color="auto"/>
                        <w:bottom w:val="none" w:sz="0" w:space="0" w:color="auto"/>
                        <w:right w:val="none" w:sz="0" w:space="0" w:color="auto"/>
                      </w:divBdr>
                    </w:div>
                  </w:divsChild>
                </w:div>
                <w:div w:id="1847401731">
                  <w:marLeft w:val="0"/>
                  <w:marRight w:val="0"/>
                  <w:marTop w:val="0"/>
                  <w:marBottom w:val="0"/>
                  <w:divBdr>
                    <w:top w:val="none" w:sz="0" w:space="0" w:color="auto"/>
                    <w:left w:val="none" w:sz="0" w:space="0" w:color="auto"/>
                    <w:bottom w:val="none" w:sz="0" w:space="0" w:color="auto"/>
                    <w:right w:val="none" w:sz="0" w:space="0" w:color="auto"/>
                  </w:divBdr>
                  <w:divsChild>
                    <w:div w:id="1655254953">
                      <w:marLeft w:val="0"/>
                      <w:marRight w:val="0"/>
                      <w:marTop w:val="0"/>
                      <w:marBottom w:val="0"/>
                      <w:divBdr>
                        <w:top w:val="none" w:sz="0" w:space="0" w:color="auto"/>
                        <w:left w:val="none" w:sz="0" w:space="0" w:color="auto"/>
                        <w:bottom w:val="none" w:sz="0" w:space="0" w:color="auto"/>
                        <w:right w:val="none" w:sz="0" w:space="0" w:color="auto"/>
                      </w:divBdr>
                    </w:div>
                  </w:divsChild>
                </w:div>
                <w:div w:id="1888907336">
                  <w:marLeft w:val="0"/>
                  <w:marRight w:val="0"/>
                  <w:marTop w:val="0"/>
                  <w:marBottom w:val="0"/>
                  <w:divBdr>
                    <w:top w:val="none" w:sz="0" w:space="0" w:color="auto"/>
                    <w:left w:val="none" w:sz="0" w:space="0" w:color="auto"/>
                    <w:bottom w:val="none" w:sz="0" w:space="0" w:color="auto"/>
                    <w:right w:val="none" w:sz="0" w:space="0" w:color="auto"/>
                  </w:divBdr>
                  <w:divsChild>
                    <w:div w:id="15171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65216">
          <w:marLeft w:val="0"/>
          <w:marRight w:val="0"/>
          <w:marTop w:val="0"/>
          <w:marBottom w:val="0"/>
          <w:divBdr>
            <w:top w:val="none" w:sz="0" w:space="0" w:color="auto"/>
            <w:left w:val="none" w:sz="0" w:space="0" w:color="auto"/>
            <w:bottom w:val="none" w:sz="0" w:space="0" w:color="auto"/>
            <w:right w:val="none" w:sz="0" w:space="0" w:color="auto"/>
          </w:divBdr>
        </w:div>
        <w:div w:id="479469883">
          <w:marLeft w:val="0"/>
          <w:marRight w:val="0"/>
          <w:marTop w:val="0"/>
          <w:marBottom w:val="0"/>
          <w:divBdr>
            <w:top w:val="none" w:sz="0" w:space="0" w:color="auto"/>
            <w:left w:val="none" w:sz="0" w:space="0" w:color="auto"/>
            <w:bottom w:val="none" w:sz="0" w:space="0" w:color="auto"/>
            <w:right w:val="none" w:sz="0" w:space="0" w:color="auto"/>
          </w:divBdr>
        </w:div>
        <w:div w:id="500239665">
          <w:marLeft w:val="0"/>
          <w:marRight w:val="0"/>
          <w:marTop w:val="0"/>
          <w:marBottom w:val="0"/>
          <w:divBdr>
            <w:top w:val="none" w:sz="0" w:space="0" w:color="auto"/>
            <w:left w:val="none" w:sz="0" w:space="0" w:color="auto"/>
            <w:bottom w:val="none" w:sz="0" w:space="0" w:color="auto"/>
            <w:right w:val="none" w:sz="0" w:space="0" w:color="auto"/>
          </w:divBdr>
        </w:div>
        <w:div w:id="678578382">
          <w:marLeft w:val="0"/>
          <w:marRight w:val="0"/>
          <w:marTop w:val="0"/>
          <w:marBottom w:val="0"/>
          <w:divBdr>
            <w:top w:val="none" w:sz="0" w:space="0" w:color="auto"/>
            <w:left w:val="none" w:sz="0" w:space="0" w:color="auto"/>
            <w:bottom w:val="none" w:sz="0" w:space="0" w:color="auto"/>
            <w:right w:val="none" w:sz="0" w:space="0" w:color="auto"/>
          </w:divBdr>
        </w:div>
        <w:div w:id="917440119">
          <w:marLeft w:val="0"/>
          <w:marRight w:val="0"/>
          <w:marTop w:val="0"/>
          <w:marBottom w:val="0"/>
          <w:divBdr>
            <w:top w:val="none" w:sz="0" w:space="0" w:color="auto"/>
            <w:left w:val="none" w:sz="0" w:space="0" w:color="auto"/>
            <w:bottom w:val="none" w:sz="0" w:space="0" w:color="auto"/>
            <w:right w:val="none" w:sz="0" w:space="0" w:color="auto"/>
          </w:divBdr>
        </w:div>
        <w:div w:id="1404260979">
          <w:marLeft w:val="0"/>
          <w:marRight w:val="0"/>
          <w:marTop w:val="0"/>
          <w:marBottom w:val="0"/>
          <w:divBdr>
            <w:top w:val="none" w:sz="0" w:space="0" w:color="auto"/>
            <w:left w:val="none" w:sz="0" w:space="0" w:color="auto"/>
            <w:bottom w:val="none" w:sz="0" w:space="0" w:color="auto"/>
            <w:right w:val="none" w:sz="0" w:space="0" w:color="auto"/>
          </w:divBdr>
        </w:div>
        <w:div w:id="1420712566">
          <w:marLeft w:val="0"/>
          <w:marRight w:val="0"/>
          <w:marTop w:val="0"/>
          <w:marBottom w:val="0"/>
          <w:divBdr>
            <w:top w:val="none" w:sz="0" w:space="0" w:color="auto"/>
            <w:left w:val="none" w:sz="0" w:space="0" w:color="auto"/>
            <w:bottom w:val="none" w:sz="0" w:space="0" w:color="auto"/>
            <w:right w:val="none" w:sz="0" w:space="0" w:color="auto"/>
          </w:divBdr>
          <w:divsChild>
            <w:div w:id="112217755">
              <w:marLeft w:val="0"/>
              <w:marRight w:val="0"/>
              <w:marTop w:val="0"/>
              <w:marBottom w:val="0"/>
              <w:divBdr>
                <w:top w:val="none" w:sz="0" w:space="0" w:color="auto"/>
                <w:left w:val="none" w:sz="0" w:space="0" w:color="auto"/>
                <w:bottom w:val="none" w:sz="0" w:space="0" w:color="auto"/>
                <w:right w:val="none" w:sz="0" w:space="0" w:color="auto"/>
              </w:divBdr>
            </w:div>
            <w:div w:id="511337841">
              <w:marLeft w:val="0"/>
              <w:marRight w:val="0"/>
              <w:marTop w:val="0"/>
              <w:marBottom w:val="0"/>
              <w:divBdr>
                <w:top w:val="none" w:sz="0" w:space="0" w:color="auto"/>
                <w:left w:val="none" w:sz="0" w:space="0" w:color="auto"/>
                <w:bottom w:val="none" w:sz="0" w:space="0" w:color="auto"/>
                <w:right w:val="none" w:sz="0" w:space="0" w:color="auto"/>
              </w:divBdr>
            </w:div>
            <w:div w:id="593435984">
              <w:marLeft w:val="0"/>
              <w:marRight w:val="0"/>
              <w:marTop w:val="0"/>
              <w:marBottom w:val="0"/>
              <w:divBdr>
                <w:top w:val="none" w:sz="0" w:space="0" w:color="auto"/>
                <w:left w:val="none" w:sz="0" w:space="0" w:color="auto"/>
                <w:bottom w:val="none" w:sz="0" w:space="0" w:color="auto"/>
                <w:right w:val="none" w:sz="0" w:space="0" w:color="auto"/>
              </w:divBdr>
            </w:div>
            <w:div w:id="899051405">
              <w:marLeft w:val="0"/>
              <w:marRight w:val="0"/>
              <w:marTop w:val="0"/>
              <w:marBottom w:val="0"/>
              <w:divBdr>
                <w:top w:val="none" w:sz="0" w:space="0" w:color="auto"/>
                <w:left w:val="none" w:sz="0" w:space="0" w:color="auto"/>
                <w:bottom w:val="none" w:sz="0" w:space="0" w:color="auto"/>
                <w:right w:val="none" w:sz="0" w:space="0" w:color="auto"/>
              </w:divBdr>
            </w:div>
            <w:div w:id="911156297">
              <w:marLeft w:val="0"/>
              <w:marRight w:val="0"/>
              <w:marTop w:val="0"/>
              <w:marBottom w:val="0"/>
              <w:divBdr>
                <w:top w:val="none" w:sz="0" w:space="0" w:color="auto"/>
                <w:left w:val="none" w:sz="0" w:space="0" w:color="auto"/>
                <w:bottom w:val="none" w:sz="0" w:space="0" w:color="auto"/>
                <w:right w:val="none" w:sz="0" w:space="0" w:color="auto"/>
              </w:divBdr>
            </w:div>
            <w:div w:id="1330327505">
              <w:marLeft w:val="0"/>
              <w:marRight w:val="0"/>
              <w:marTop w:val="0"/>
              <w:marBottom w:val="0"/>
              <w:divBdr>
                <w:top w:val="none" w:sz="0" w:space="0" w:color="auto"/>
                <w:left w:val="none" w:sz="0" w:space="0" w:color="auto"/>
                <w:bottom w:val="none" w:sz="0" w:space="0" w:color="auto"/>
                <w:right w:val="none" w:sz="0" w:space="0" w:color="auto"/>
              </w:divBdr>
            </w:div>
            <w:div w:id="1685672898">
              <w:marLeft w:val="0"/>
              <w:marRight w:val="0"/>
              <w:marTop w:val="0"/>
              <w:marBottom w:val="0"/>
              <w:divBdr>
                <w:top w:val="none" w:sz="0" w:space="0" w:color="auto"/>
                <w:left w:val="none" w:sz="0" w:space="0" w:color="auto"/>
                <w:bottom w:val="none" w:sz="0" w:space="0" w:color="auto"/>
                <w:right w:val="none" w:sz="0" w:space="0" w:color="auto"/>
              </w:divBdr>
            </w:div>
          </w:divsChild>
        </w:div>
        <w:div w:id="1556238027">
          <w:marLeft w:val="0"/>
          <w:marRight w:val="0"/>
          <w:marTop w:val="0"/>
          <w:marBottom w:val="0"/>
          <w:divBdr>
            <w:top w:val="none" w:sz="0" w:space="0" w:color="auto"/>
            <w:left w:val="none" w:sz="0" w:space="0" w:color="auto"/>
            <w:bottom w:val="none" w:sz="0" w:space="0" w:color="auto"/>
            <w:right w:val="none" w:sz="0" w:space="0" w:color="auto"/>
          </w:divBdr>
        </w:div>
      </w:divsChild>
    </w:div>
    <w:div w:id="493037023">
      <w:bodyDiv w:val="1"/>
      <w:marLeft w:val="0"/>
      <w:marRight w:val="0"/>
      <w:marTop w:val="0"/>
      <w:marBottom w:val="0"/>
      <w:divBdr>
        <w:top w:val="none" w:sz="0" w:space="0" w:color="auto"/>
        <w:left w:val="none" w:sz="0" w:space="0" w:color="auto"/>
        <w:bottom w:val="none" w:sz="0" w:space="0" w:color="auto"/>
        <w:right w:val="none" w:sz="0" w:space="0" w:color="auto"/>
      </w:divBdr>
    </w:div>
    <w:div w:id="909197860">
      <w:bodyDiv w:val="1"/>
      <w:marLeft w:val="0"/>
      <w:marRight w:val="0"/>
      <w:marTop w:val="0"/>
      <w:marBottom w:val="0"/>
      <w:divBdr>
        <w:top w:val="none" w:sz="0" w:space="0" w:color="auto"/>
        <w:left w:val="none" w:sz="0" w:space="0" w:color="auto"/>
        <w:bottom w:val="none" w:sz="0" w:space="0" w:color="auto"/>
        <w:right w:val="none" w:sz="0" w:space="0" w:color="auto"/>
      </w:divBdr>
    </w:div>
    <w:div w:id="1393891270">
      <w:bodyDiv w:val="1"/>
      <w:marLeft w:val="0"/>
      <w:marRight w:val="0"/>
      <w:marTop w:val="0"/>
      <w:marBottom w:val="0"/>
      <w:divBdr>
        <w:top w:val="none" w:sz="0" w:space="0" w:color="auto"/>
        <w:left w:val="none" w:sz="0" w:space="0" w:color="auto"/>
        <w:bottom w:val="none" w:sz="0" w:space="0" w:color="auto"/>
        <w:right w:val="none" w:sz="0" w:space="0" w:color="auto"/>
      </w:divBdr>
    </w:div>
    <w:div w:id="1518732906">
      <w:bodyDiv w:val="1"/>
      <w:marLeft w:val="0"/>
      <w:marRight w:val="0"/>
      <w:marTop w:val="0"/>
      <w:marBottom w:val="0"/>
      <w:divBdr>
        <w:top w:val="none" w:sz="0" w:space="0" w:color="auto"/>
        <w:left w:val="none" w:sz="0" w:space="0" w:color="auto"/>
        <w:bottom w:val="none" w:sz="0" w:space="0" w:color="auto"/>
        <w:right w:val="none" w:sz="0" w:space="0" w:color="auto"/>
      </w:divBdr>
    </w:div>
    <w:div w:id="1790738123">
      <w:bodyDiv w:val="1"/>
      <w:marLeft w:val="0"/>
      <w:marRight w:val="0"/>
      <w:marTop w:val="0"/>
      <w:marBottom w:val="0"/>
      <w:divBdr>
        <w:top w:val="none" w:sz="0" w:space="0" w:color="auto"/>
        <w:left w:val="none" w:sz="0" w:space="0" w:color="auto"/>
        <w:bottom w:val="none" w:sz="0" w:space="0" w:color="auto"/>
        <w:right w:val="none" w:sz="0" w:space="0" w:color="auto"/>
      </w:divBdr>
      <w:divsChild>
        <w:div w:id="283342182">
          <w:marLeft w:val="0"/>
          <w:marRight w:val="0"/>
          <w:marTop w:val="0"/>
          <w:marBottom w:val="0"/>
          <w:divBdr>
            <w:top w:val="none" w:sz="0" w:space="0" w:color="auto"/>
            <w:left w:val="none" w:sz="0" w:space="0" w:color="auto"/>
            <w:bottom w:val="none" w:sz="0" w:space="0" w:color="auto"/>
            <w:right w:val="none" w:sz="0" w:space="0" w:color="auto"/>
          </w:divBdr>
        </w:div>
        <w:div w:id="1776554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ir.ac.uk/about/professional-services/estates-and-campus-services/safety-environment-security-and-continuity/safe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8" ma:contentTypeDescription="Create a new document." ma:contentTypeScope="" ma:versionID="72af57388b6cce457707df6b0858ee59">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becad273daba35b45188a3a68d29107c"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SharedWithUsers xmlns="61453b0b-e893-41b5-af7c-8a766d62107e">
      <UserInfo>
        <DisplayName>Noel Lawlor</DisplayName>
        <AccountId>1406</AccountId>
        <AccountType/>
      </UserInfo>
      <UserInfo>
        <DisplayName>Joanna Morrow</DisplayName>
        <AccountId>22</AccountId>
        <AccountType/>
      </UserInfo>
      <UserInfo>
        <DisplayName>Deputy Secretary</DisplayName>
        <AccountId>111</AccountId>
        <AccountType/>
      </UserInfo>
      <UserInfo>
        <DisplayName>Graeme Duff {Planning}</DisplayName>
        <AccountId>39</AccountId>
        <AccountType/>
      </UserInfo>
    </SharedWithUsers>
  </documentManagement>
</p:properties>
</file>

<file path=customXml/itemProps1.xml><?xml version="1.0" encoding="utf-8"?>
<ds:datastoreItem xmlns:ds="http://schemas.openxmlformats.org/officeDocument/2006/customXml" ds:itemID="{E11211E6-1404-421C-A576-F7AEFDDD5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369E8-CC48-41F3-ACFD-2088A37A98FE}">
  <ds:schemaRefs>
    <ds:schemaRef ds:uri="http://schemas.openxmlformats.org/officeDocument/2006/bibliography"/>
  </ds:schemaRefs>
</ds:datastoreItem>
</file>

<file path=customXml/itemProps3.xml><?xml version="1.0" encoding="utf-8"?>
<ds:datastoreItem xmlns:ds="http://schemas.openxmlformats.org/officeDocument/2006/customXml" ds:itemID="{918447EE-F635-4E64-A2C7-38CF11C6A27B}">
  <ds:schemaRefs>
    <ds:schemaRef ds:uri="http://schemas.microsoft.com/sharepoint/v3/contenttype/forms"/>
  </ds:schemaRefs>
</ds:datastoreItem>
</file>

<file path=customXml/itemProps4.xml><?xml version="1.0" encoding="utf-8"?>
<ds:datastoreItem xmlns:ds="http://schemas.openxmlformats.org/officeDocument/2006/customXml" ds:itemID="{7B8E01AA-2F02-4618-95D0-498421DE92AB}">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2251</Words>
  <Characters>12835</Characters>
  <Application>Microsoft Office Word</Application>
  <DocSecurity>0</DocSecurity>
  <Lines>106</Lines>
  <Paragraphs>30</Paragraphs>
  <ScaleCrop>false</ScaleCrop>
  <Company>University of Stirling</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Moray Nichol</dc:creator>
  <cp:keywords/>
  <dc:description/>
  <cp:lastModifiedBy>Roslyn Smith</cp:lastModifiedBy>
  <cp:revision>575</cp:revision>
  <dcterms:created xsi:type="dcterms:W3CDTF">2024-08-21T06:55:00Z</dcterms:created>
  <dcterms:modified xsi:type="dcterms:W3CDTF">2025-09-11T15:17:00Z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