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AAE82" w14:textId="77777777" w:rsidR="001D6D7B" w:rsidRDefault="005778B4" w:rsidP="004233EE">
      <w:pPr>
        <w:jc w:val="right"/>
        <w:rPr>
          <w:rFonts w:ascii="Calibri" w:hAnsi="Calibri" w:cs="Calibri"/>
          <w:b/>
          <w:bCs/>
          <w:sz w:val="28"/>
          <w:szCs w:val="28"/>
        </w:rPr>
      </w:pPr>
      <w:r>
        <w:rPr>
          <w:noProof/>
        </w:rPr>
        <w:drawing>
          <wp:inline distT="0" distB="0" distL="0" distR="0" wp14:anchorId="610FACD9" wp14:editId="77E12AEC">
            <wp:extent cx="1839836" cy="819150"/>
            <wp:effectExtent l="0" t="0" r="8255"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0" cstate="print">
                      <a:extLst>
                        <a:ext uri="{28A0092B-C50C-407E-A947-70E740481C1C}">
                          <a14:useLocalDpi xmlns:a14="http://schemas.microsoft.com/office/drawing/2010/main" val="0"/>
                        </a:ext>
                      </a:extLst>
                    </a:blip>
                    <a:srcRect t="10179" b="14371"/>
                    <a:stretch>
                      <a:fillRect/>
                    </a:stretch>
                  </pic:blipFill>
                  <pic:spPr>
                    <a:xfrm>
                      <a:off x="0" y="0"/>
                      <a:ext cx="1854346" cy="825610"/>
                    </a:xfrm>
                    <a:prstGeom prst="rect">
                      <a:avLst/>
                    </a:prstGeom>
                  </pic:spPr>
                </pic:pic>
              </a:graphicData>
            </a:graphic>
          </wp:inline>
        </w:drawing>
      </w:r>
    </w:p>
    <w:p w14:paraId="79830E3E" w14:textId="77777777" w:rsidR="00090E8D" w:rsidRPr="00D82C6B" w:rsidRDefault="00090E8D" w:rsidP="00090E8D">
      <w:pPr>
        <w:jc w:val="center"/>
        <w:rPr>
          <w:rFonts w:ascii="Calibri" w:hAnsi="Calibri" w:cs="Calibri"/>
          <w:b/>
          <w:bCs/>
          <w:sz w:val="28"/>
          <w:szCs w:val="28"/>
        </w:rPr>
      </w:pPr>
      <w:r w:rsidRPr="00D82C6B">
        <w:rPr>
          <w:rFonts w:ascii="Calibri" w:hAnsi="Calibri" w:cs="Calibri"/>
          <w:b/>
          <w:bCs/>
          <w:sz w:val="28"/>
          <w:szCs w:val="28"/>
        </w:rPr>
        <w:t>UNIVERSITY COURT</w:t>
      </w:r>
    </w:p>
    <w:p w14:paraId="69923C54" w14:textId="0BBBBF06" w:rsidR="00090E8D" w:rsidRPr="00D82C6B" w:rsidRDefault="00090E8D" w:rsidP="00090E8D">
      <w:pPr>
        <w:jc w:val="center"/>
        <w:rPr>
          <w:rFonts w:ascii="Calibri" w:hAnsi="Calibri" w:cs="Calibri"/>
          <w:b/>
          <w:bCs/>
          <w:sz w:val="24"/>
          <w:szCs w:val="24"/>
        </w:rPr>
      </w:pPr>
      <w:r w:rsidRPr="00D82C6B">
        <w:rPr>
          <w:rFonts w:ascii="Calibri" w:hAnsi="Calibri" w:cs="Calibri"/>
          <w:b/>
          <w:bCs/>
          <w:sz w:val="24"/>
          <w:szCs w:val="24"/>
        </w:rPr>
        <w:t xml:space="preserve">Summary of Findings and Recommendations from </w:t>
      </w:r>
      <w:r w:rsidR="004B6169">
        <w:rPr>
          <w:rFonts w:ascii="Calibri" w:hAnsi="Calibri" w:cs="Calibri"/>
          <w:b/>
          <w:bCs/>
          <w:sz w:val="24"/>
          <w:szCs w:val="24"/>
        </w:rPr>
        <w:t xml:space="preserve">an </w:t>
      </w:r>
      <w:r w:rsidRPr="00D82C6B">
        <w:rPr>
          <w:rFonts w:ascii="Calibri" w:hAnsi="Calibri" w:cs="Calibri"/>
          <w:b/>
          <w:bCs/>
          <w:sz w:val="24"/>
          <w:szCs w:val="24"/>
        </w:rPr>
        <w:t>Externally Facilitated Review of Governance Effectiveness 2024</w:t>
      </w:r>
    </w:p>
    <w:p w14:paraId="5985302D" w14:textId="4C1F0E0C" w:rsidR="00090E8D" w:rsidRPr="00EB77C8" w:rsidRDefault="00090E8D" w:rsidP="00E13328">
      <w:pPr>
        <w:spacing w:after="0"/>
        <w:rPr>
          <w:rFonts w:ascii="Calibri" w:hAnsi="Calibri" w:cs="Calibri"/>
          <w:b/>
          <w:bCs/>
        </w:rPr>
      </w:pPr>
      <w:r w:rsidRPr="00EB77C8">
        <w:rPr>
          <w:rFonts w:ascii="Calibri" w:hAnsi="Calibri" w:cs="Calibri"/>
          <w:b/>
          <w:bCs/>
        </w:rPr>
        <w:t xml:space="preserve">Introduction </w:t>
      </w:r>
    </w:p>
    <w:p w14:paraId="4082C104" w14:textId="65B14DBD" w:rsidR="00EB77C8" w:rsidRPr="00EB77C8" w:rsidRDefault="7CE77F8D" w:rsidP="00EB77C8">
      <w:pPr>
        <w:ind w:left="284" w:hanging="284"/>
        <w:jc w:val="both"/>
        <w:rPr>
          <w:rFonts w:ascii="Calibri" w:hAnsi="Calibri" w:cs="Calibri"/>
        </w:rPr>
      </w:pPr>
      <w:r w:rsidRPr="5C7268AA">
        <w:rPr>
          <w:rFonts w:ascii="Calibri" w:hAnsi="Calibri" w:cs="Calibri"/>
        </w:rPr>
        <w:t xml:space="preserve">1. The University </w:t>
      </w:r>
      <w:r w:rsidR="23965F40" w:rsidRPr="5C7268AA">
        <w:rPr>
          <w:rFonts w:ascii="Calibri" w:hAnsi="Calibri" w:cs="Calibri"/>
        </w:rPr>
        <w:t xml:space="preserve">engaged </w:t>
      </w:r>
      <w:proofErr w:type="spellStart"/>
      <w:r w:rsidR="2F38FE58" w:rsidRPr="5C7268AA">
        <w:rPr>
          <w:rFonts w:ascii="Calibri" w:hAnsi="Calibri" w:cs="Calibri"/>
        </w:rPr>
        <w:t>AdvanceHE</w:t>
      </w:r>
      <w:proofErr w:type="spellEnd"/>
      <w:r w:rsidR="2F38FE58" w:rsidRPr="5C7268AA">
        <w:rPr>
          <w:rFonts w:ascii="Calibri" w:hAnsi="Calibri" w:cs="Calibri"/>
        </w:rPr>
        <w:t xml:space="preserve"> </w:t>
      </w:r>
      <w:r w:rsidRPr="5C7268AA">
        <w:rPr>
          <w:rFonts w:ascii="Calibri" w:hAnsi="Calibri" w:cs="Calibri"/>
        </w:rPr>
        <w:t>to undertake a</w:t>
      </w:r>
      <w:r w:rsidR="2084DFE1" w:rsidRPr="5C7268AA">
        <w:rPr>
          <w:rFonts w:ascii="Calibri" w:hAnsi="Calibri" w:cs="Calibri"/>
        </w:rPr>
        <w:t xml:space="preserve">n externally facilitated review of </w:t>
      </w:r>
      <w:r w:rsidR="3A9CBB25" w:rsidRPr="5C7268AA">
        <w:rPr>
          <w:rFonts w:ascii="Calibri" w:hAnsi="Calibri" w:cs="Calibri"/>
        </w:rPr>
        <w:t>the governing body’</w:t>
      </w:r>
      <w:r w:rsidR="1F220FA1" w:rsidRPr="5C7268AA">
        <w:rPr>
          <w:rFonts w:ascii="Calibri" w:hAnsi="Calibri" w:cs="Calibri"/>
        </w:rPr>
        <w:t xml:space="preserve">s own </w:t>
      </w:r>
      <w:r w:rsidR="2084DFE1" w:rsidRPr="5C7268AA">
        <w:rPr>
          <w:rFonts w:ascii="Calibri" w:hAnsi="Calibri" w:cs="Calibri"/>
        </w:rPr>
        <w:t>effectiveness</w:t>
      </w:r>
      <w:r w:rsidR="4C27FFE6" w:rsidRPr="5C7268AA">
        <w:rPr>
          <w:rFonts w:ascii="Calibri" w:hAnsi="Calibri" w:cs="Calibri"/>
        </w:rPr>
        <w:t>, in accordance with the Scottish Code of Good Higher Education Governance</w:t>
      </w:r>
      <w:r w:rsidR="4207CE9A" w:rsidRPr="5C7268AA">
        <w:rPr>
          <w:rFonts w:ascii="Calibri" w:hAnsi="Calibri" w:cs="Calibri"/>
        </w:rPr>
        <w:t xml:space="preserve"> 2023</w:t>
      </w:r>
      <w:r w:rsidRPr="5C7268AA">
        <w:rPr>
          <w:rFonts w:ascii="Calibri" w:hAnsi="Calibri" w:cs="Calibri"/>
        </w:rPr>
        <w:t xml:space="preserve">. </w:t>
      </w:r>
      <w:r w:rsidR="1F220FA1" w:rsidRPr="5C7268AA">
        <w:rPr>
          <w:rFonts w:ascii="Calibri" w:hAnsi="Calibri" w:cs="Calibri"/>
        </w:rPr>
        <w:t xml:space="preserve"> </w:t>
      </w:r>
      <w:r w:rsidRPr="5C7268AA">
        <w:rPr>
          <w:rFonts w:ascii="Calibri" w:hAnsi="Calibri" w:cs="Calibri"/>
        </w:rPr>
        <w:t xml:space="preserve">At its meeting in </w:t>
      </w:r>
      <w:r w:rsidR="35F81F34" w:rsidRPr="5C7268AA">
        <w:rPr>
          <w:rFonts w:ascii="Calibri" w:hAnsi="Calibri" w:cs="Calibri"/>
        </w:rPr>
        <w:t xml:space="preserve">October </w:t>
      </w:r>
      <w:r w:rsidRPr="5C7268AA">
        <w:rPr>
          <w:rFonts w:ascii="Calibri" w:hAnsi="Calibri" w:cs="Calibri"/>
        </w:rPr>
        <w:t>20</w:t>
      </w:r>
      <w:r w:rsidR="35F81F34" w:rsidRPr="5C7268AA">
        <w:rPr>
          <w:rFonts w:ascii="Calibri" w:hAnsi="Calibri" w:cs="Calibri"/>
        </w:rPr>
        <w:t>24</w:t>
      </w:r>
      <w:r w:rsidRPr="5C7268AA">
        <w:rPr>
          <w:rFonts w:ascii="Calibri" w:hAnsi="Calibri" w:cs="Calibri"/>
        </w:rPr>
        <w:t xml:space="preserve">, </w:t>
      </w:r>
      <w:r w:rsidR="35F81F34" w:rsidRPr="5C7268AA">
        <w:rPr>
          <w:rFonts w:ascii="Calibri" w:hAnsi="Calibri" w:cs="Calibri"/>
        </w:rPr>
        <w:t xml:space="preserve">University </w:t>
      </w:r>
      <w:r w:rsidRPr="5C7268AA">
        <w:rPr>
          <w:rFonts w:ascii="Calibri" w:hAnsi="Calibri" w:cs="Calibri"/>
        </w:rPr>
        <w:t>Court considered the</w:t>
      </w:r>
      <w:r w:rsidR="4207CE9A" w:rsidRPr="5C7268AA">
        <w:rPr>
          <w:rFonts w:ascii="Calibri" w:hAnsi="Calibri" w:cs="Calibri"/>
        </w:rPr>
        <w:t xml:space="preserve"> findings of the review</w:t>
      </w:r>
      <w:r w:rsidRPr="5C7268AA">
        <w:rPr>
          <w:rFonts w:ascii="Calibri" w:hAnsi="Calibri" w:cs="Calibri"/>
        </w:rPr>
        <w:t xml:space="preserve">, including </w:t>
      </w:r>
      <w:r w:rsidR="00EB77C8" w:rsidRPr="5C7268AA">
        <w:rPr>
          <w:rFonts w:ascii="Calibri" w:hAnsi="Calibri" w:cs="Calibri"/>
        </w:rPr>
        <w:t xml:space="preserve">seven </w:t>
      </w:r>
      <w:r w:rsidRPr="5C7268AA">
        <w:rPr>
          <w:rFonts w:ascii="Calibri" w:hAnsi="Calibri" w:cs="Calibri"/>
        </w:rPr>
        <w:t>recommendations</w:t>
      </w:r>
      <w:r w:rsidR="52D8B216" w:rsidRPr="5C7268AA">
        <w:rPr>
          <w:rFonts w:ascii="Calibri" w:hAnsi="Calibri" w:cs="Calibri"/>
        </w:rPr>
        <w:t xml:space="preserve">. </w:t>
      </w:r>
      <w:r w:rsidR="1F220FA1" w:rsidRPr="5C7268AA">
        <w:rPr>
          <w:rFonts w:ascii="Calibri" w:hAnsi="Calibri" w:cs="Calibri"/>
        </w:rPr>
        <w:t xml:space="preserve"> </w:t>
      </w:r>
      <w:r w:rsidRPr="5C7268AA">
        <w:rPr>
          <w:rFonts w:ascii="Calibri" w:hAnsi="Calibri" w:cs="Calibri"/>
        </w:rPr>
        <w:t xml:space="preserve">A summary of the </w:t>
      </w:r>
      <w:r w:rsidR="1D71C54E" w:rsidRPr="5C7268AA">
        <w:rPr>
          <w:rFonts w:ascii="Calibri" w:hAnsi="Calibri" w:cs="Calibri"/>
        </w:rPr>
        <w:t>findings</w:t>
      </w:r>
      <w:r w:rsidRPr="5C7268AA">
        <w:rPr>
          <w:rFonts w:ascii="Calibri" w:hAnsi="Calibri" w:cs="Calibri"/>
        </w:rPr>
        <w:t xml:space="preserve"> and details of the recommendations are provided below.</w:t>
      </w:r>
    </w:p>
    <w:p w14:paraId="6D966BC4" w14:textId="7A0832AA" w:rsidR="00090E8D" w:rsidRPr="00EB77C8" w:rsidRDefault="00090E8D" w:rsidP="00E13328">
      <w:pPr>
        <w:spacing w:after="0"/>
        <w:rPr>
          <w:rFonts w:ascii="Calibri" w:hAnsi="Calibri" w:cs="Calibri"/>
          <w:b/>
          <w:bCs/>
        </w:rPr>
      </w:pPr>
      <w:r w:rsidRPr="00EB77C8">
        <w:rPr>
          <w:rFonts w:ascii="Calibri" w:hAnsi="Calibri" w:cs="Calibri"/>
          <w:b/>
          <w:bCs/>
        </w:rPr>
        <w:t xml:space="preserve">Terms of Reference </w:t>
      </w:r>
    </w:p>
    <w:p w14:paraId="29661A31" w14:textId="48E5BA9D" w:rsidR="00090E8D" w:rsidRPr="00EB77C8" w:rsidRDefault="00090E8D" w:rsidP="00EB77C8">
      <w:pPr>
        <w:spacing w:after="0"/>
        <w:ind w:left="284" w:hanging="284"/>
        <w:rPr>
          <w:rFonts w:ascii="Calibri" w:hAnsi="Calibri" w:cs="Calibri"/>
        </w:rPr>
      </w:pPr>
      <w:r w:rsidRPr="00EB77C8">
        <w:rPr>
          <w:rFonts w:ascii="Calibri" w:hAnsi="Calibri" w:cs="Calibri"/>
        </w:rPr>
        <w:t xml:space="preserve">2. The </w:t>
      </w:r>
      <w:r w:rsidR="00C81355" w:rsidRPr="00EB77C8">
        <w:rPr>
          <w:rFonts w:ascii="Calibri" w:hAnsi="Calibri" w:cs="Calibri"/>
        </w:rPr>
        <w:t xml:space="preserve">following </w:t>
      </w:r>
      <w:r w:rsidRPr="00EB77C8">
        <w:rPr>
          <w:rFonts w:ascii="Calibri" w:hAnsi="Calibri" w:cs="Calibri"/>
        </w:rPr>
        <w:t xml:space="preserve">Terms of Reference </w:t>
      </w:r>
      <w:r w:rsidR="00C81355" w:rsidRPr="00EB77C8">
        <w:rPr>
          <w:rFonts w:ascii="Calibri" w:hAnsi="Calibri" w:cs="Calibri"/>
        </w:rPr>
        <w:t xml:space="preserve">were agreed </w:t>
      </w:r>
      <w:r w:rsidRPr="00EB77C8">
        <w:rPr>
          <w:rFonts w:ascii="Calibri" w:hAnsi="Calibri" w:cs="Calibri"/>
        </w:rPr>
        <w:t>for the Review</w:t>
      </w:r>
      <w:r w:rsidR="009E57BC" w:rsidRPr="00EB77C8">
        <w:rPr>
          <w:rFonts w:ascii="Calibri" w:hAnsi="Calibri" w:cs="Calibri"/>
        </w:rPr>
        <w:t xml:space="preserve">: </w:t>
      </w:r>
      <w:r w:rsidRPr="00EB77C8">
        <w:rPr>
          <w:rFonts w:ascii="Calibri" w:hAnsi="Calibri" w:cs="Calibri"/>
        </w:rPr>
        <w:t xml:space="preserve"> </w:t>
      </w:r>
    </w:p>
    <w:p w14:paraId="4550331B" w14:textId="77777777" w:rsidR="009E57BC" w:rsidRPr="009E57BC" w:rsidRDefault="009E57BC" w:rsidP="002C6206">
      <w:pPr>
        <w:numPr>
          <w:ilvl w:val="0"/>
          <w:numId w:val="1"/>
        </w:numPr>
        <w:spacing w:after="0"/>
        <w:ind w:right="379"/>
        <w:jc w:val="both"/>
        <w:rPr>
          <w:rFonts w:ascii="Calibri" w:hAnsi="Calibri" w:cs="Calibri"/>
        </w:rPr>
      </w:pPr>
      <w:r w:rsidRPr="009E57BC">
        <w:rPr>
          <w:rFonts w:ascii="Calibri" w:hAnsi="Calibri" w:cs="Calibri"/>
        </w:rPr>
        <w:t>Whether Court and the committees of Court are appropriately structured, undertake appropriate self-reflection and evaluation of their effectiveness, and have the capacity to deliver the University’s ambitious forward strategy and vision. </w:t>
      </w:r>
    </w:p>
    <w:p w14:paraId="30C5665B" w14:textId="77777777" w:rsidR="009E57BC" w:rsidRPr="009E57BC" w:rsidRDefault="009E57BC" w:rsidP="002C6206">
      <w:pPr>
        <w:numPr>
          <w:ilvl w:val="0"/>
          <w:numId w:val="2"/>
        </w:numPr>
        <w:spacing w:after="0"/>
        <w:ind w:right="379"/>
        <w:jc w:val="both"/>
        <w:rPr>
          <w:rFonts w:ascii="Calibri" w:hAnsi="Calibri" w:cs="Calibri"/>
        </w:rPr>
      </w:pPr>
      <w:r w:rsidRPr="009E57BC">
        <w:rPr>
          <w:rFonts w:ascii="Calibri" w:hAnsi="Calibri" w:cs="Calibri"/>
        </w:rPr>
        <w:t>The balance of diversity, skills and experience on Court and to determine whether the University is fully utilising the knowledge, skills and experience of members, and is equipping members appropriately for their roles, including as chairs of sub-committees. </w:t>
      </w:r>
    </w:p>
    <w:p w14:paraId="1FF478D8" w14:textId="77777777" w:rsidR="009E57BC" w:rsidRPr="009E57BC" w:rsidRDefault="009E57BC" w:rsidP="002C6206">
      <w:pPr>
        <w:numPr>
          <w:ilvl w:val="0"/>
          <w:numId w:val="3"/>
        </w:numPr>
        <w:spacing w:after="0"/>
        <w:ind w:right="379"/>
        <w:jc w:val="both"/>
        <w:rPr>
          <w:rFonts w:ascii="Calibri" w:hAnsi="Calibri" w:cs="Calibri"/>
        </w:rPr>
      </w:pPr>
      <w:r w:rsidRPr="009E57BC">
        <w:rPr>
          <w:rFonts w:ascii="Calibri" w:hAnsi="Calibri" w:cs="Calibri"/>
        </w:rPr>
        <w:t>The extent to which Court is adequately managing risk, particularly in respect to the current external environment. </w:t>
      </w:r>
    </w:p>
    <w:p w14:paraId="00CCAA66" w14:textId="77777777" w:rsidR="009E57BC" w:rsidRPr="009E57BC" w:rsidRDefault="009E57BC" w:rsidP="002C6206">
      <w:pPr>
        <w:numPr>
          <w:ilvl w:val="0"/>
          <w:numId w:val="4"/>
        </w:numPr>
        <w:spacing w:after="0"/>
        <w:ind w:right="379"/>
        <w:jc w:val="both"/>
        <w:rPr>
          <w:rFonts w:ascii="Calibri" w:hAnsi="Calibri" w:cs="Calibri"/>
        </w:rPr>
      </w:pPr>
      <w:r w:rsidRPr="009E57BC">
        <w:rPr>
          <w:rFonts w:ascii="Calibri" w:hAnsi="Calibri" w:cs="Calibri"/>
        </w:rPr>
        <w:t xml:space="preserve">The ways in which the Executive and the University more generally engage with Court to improve communication </w:t>
      </w:r>
      <w:proofErr w:type="gramStart"/>
      <w:r w:rsidRPr="009E57BC">
        <w:rPr>
          <w:rFonts w:ascii="Calibri" w:hAnsi="Calibri" w:cs="Calibri"/>
        </w:rPr>
        <w:t>and also</w:t>
      </w:r>
      <w:proofErr w:type="gramEnd"/>
      <w:r w:rsidRPr="009E57BC">
        <w:rPr>
          <w:rFonts w:ascii="Calibri" w:hAnsi="Calibri" w:cs="Calibri"/>
        </w:rPr>
        <w:t xml:space="preserve"> enhance understanding of the University and the wider Sector. </w:t>
      </w:r>
    </w:p>
    <w:p w14:paraId="46B1B9CF" w14:textId="77777777" w:rsidR="009E57BC" w:rsidRPr="009E57BC" w:rsidRDefault="009E57BC" w:rsidP="002C6206">
      <w:pPr>
        <w:numPr>
          <w:ilvl w:val="0"/>
          <w:numId w:val="5"/>
        </w:numPr>
        <w:spacing w:after="0"/>
        <w:ind w:right="379"/>
        <w:jc w:val="both"/>
        <w:rPr>
          <w:rFonts w:ascii="Calibri" w:hAnsi="Calibri" w:cs="Calibri"/>
        </w:rPr>
      </w:pPr>
      <w:r w:rsidRPr="009E57BC">
        <w:rPr>
          <w:rFonts w:ascii="Calibri" w:hAnsi="Calibri" w:cs="Calibri"/>
        </w:rPr>
        <w:t>Providing an assessment on the ability of Court to deliver the University’s Strategic Plan, in compliance with the overall principles of good and effective Higher Education Governance. </w:t>
      </w:r>
    </w:p>
    <w:p w14:paraId="2B32213A" w14:textId="77777777" w:rsidR="009E57BC" w:rsidRPr="009E57BC" w:rsidRDefault="009E57BC" w:rsidP="002C6206">
      <w:pPr>
        <w:numPr>
          <w:ilvl w:val="0"/>
          <w:numId w:val="6"/>
        </w:numPr>
        <w:spacing w:after="0"/>
        <w:ind w:right="379"/>
        <w:jc w:val="both"/>
        <w:rPr>
          <w:rFonts w:ascii="Calibri" w:hAnsi="Calibri" w:cs="Calibri"/>
        </w:rPr>
      </w:pPr>
      <w:r w:rsidRPr="009E57BC">
        <w:rPr>
          <w:rFonts w:ascii="Calibri" w:hAnsi="Calibri" w:cs="Calibri"/>
        </w:rPr>
        <w:t>Explore the distinction between governance and management in the operation of the Court and the need for constructive challenge by the Court to be understood and accepted by both members and the Executive. </w:t>
      </w:r>
    </w:p>
    <w:p w14:paraId="5B7AD872" w14:textId="1F9F6B18" w:rsidR="00EB77C8" w:rsidRDefault="009E57BC" w:rsidP="002C6206">
      <w:pPr>
        <w:numPr>
          <w:ilvl w:val="0"/>
          <w:numId w:val="7"/>
        </w:numPr>
        <w:spacing w:after="0"/>
        <w:ind w:right="379"/>
        <w:jc w:val="both"/>
        <w:rPr>
          <w:rFonts w:ascii="Calibri" w:hAnsi="Calibri" w:cs="Calibri"/>
        </w:rPr>
      </w:pPr>
      <w:r w:rsidRPr="009E57BC">
        <w:rPr>
          <w:rFonts w:ascii="Calibri" w:hAnsi="Calibri" w:cs="Calibri"/>
        </w:rPr>
        <w:t>Assess the level of Court visibility and engagement with the wider University community of staff and students and other stakeholders.  </w:t>
      </w:r>
    </w:p>
    <w:p w14:paraId="36666F5B" w14:textId="063DE2C5" w:rsidR="00EB77C8" w:rsidRPr="00EB77C8" w:rsidRDefault="00EB77C8" w:rsidP="00EB77C8">
      <w:pPr>
        <w:spacing w:after="0"/>
        <w:ind w:left="720" w:right="521"/>
        <w:jc w:val="both"/>
        <w:rPr>
          <w:rFonts w:ascii="Calibri" w:hAnsi="Calibri" w:cs="Calibri"/>
        </w:rPr>
      </w:pPr>
    </w:p>
    <w:p w14:paraId="1207CAF3" w14:textId="76D4C447" w:rsidR="0023607C" w:rsidRPr="0023607C" w:rsidRDefault="0023607C" w:rsidP="00EB77C8">
      <w:pPr>
        <w:spacing w:after="0"/>
        <w:ind w:right="521"/>
        <w:jc w:val="both"/>
        <w:rPr>
          <w:rFonts w:ascii="Calibri" w:hAnsi="Calibri" w:cs="Calibri"/>
          <w:b/>
          <w:bCs/>
        </w:rPr>
      </w:pPr>
      <w:r w:rsidRPr="00EB77C8">
        <w:rPr>
          <w:rFonts w:ascii="Calibri" w:hAnsi="Calibri" w:cs="Calibri"/>
          <w:b/>
          <w:bCs/>
        </w:rPr>
        <w:t>O</w:t>
      </w:r>
      <w:r w:rsidRPr="0023607C">
        <w:rPr>
          <w:rFonts w:ascii="Calibri" w:hAnsi="Calibri" w:cs="Calibri"/>
          <w:b/>
          <w:bCs/>
        </w:rPr>
        <w:t>verview of Review Methodology  </w:t>
      </w:r>
    </w:p>
    <w:p w14:paraId="50017C15" w14:textId="296B35F2" w:rsidR="0023607C" w:rsidRPr="0023607C" w:rsidRDefault="3B8AD619" w:rsidP="587423ED">
      <w:pPr>
        <w:ind w:left="270" w:hanging="270"/>
        <w:jc w:val="both"/>
        <w:rPr>
          <w:rFonts w:ascii="Calibri" w:hAnsi="Calibri" w:cs="Calibri"/>
        </w:rPr>
      </w:pPr>
      <w:r w:rsidRPr="587423ED">
        <w:rPr>
          <w:rFonts w:ascii="Calibri" w:hAnsi="Calibri" w:cs="Calibri"/>
        </w:rPr>
        <w:t xml:space="preserve">3. </w:t>
      </w:r>
      <w:r>
        <w:tab/>
      </w:r>
      <w:r w:rsidR="0023607C" w:rsidRPr="587423ED">
        <w:rPr>
          <w:rFonts w:ascii="Calibri" w:hAnsi="Calibri" w:cs="Calibri"/>
        </w:rPr>
        <w:t>Findings of the review were drawn from responses to a bespoke e-survey of Court members and attendees, a review of documents and evidence focused on requirements of Scottish Code of Good Higher Education Governance, observations of Court and committee meetings, and a combination of one-to-one and group interviews with members of Court and key executive staff.   </w:t>
      </w:r>
    </w:p>
    <w:p w14:paraId="6402071F" w14:textId="77777777" w:rsidR="0023607C" w:rsidRPr="0023607C" w:rsidRDefault="0023607C" w:rsidP="00E13328">
      <w:pPr>
        <w:spacing w:after="0"/>
        <w:ind w:right="521"/>
        <w:jc w:val="both"/>
        <w:rPr>
          <w:rFonts w:ascii="Calibri" w:hAnsi="Calibri" w:cs="Calibri"/>
          <w:b/>
          <w:bCs/>
        </w:rPr>
      </w:pPr>
      <w:r w:rsidRPr="0023607C">
        <w:rPr>
          <w:rFonts w:ascii="Calibri" w:hAnsi="Calibri" w:cs="Calibri"/>
          <w:b/>
          <w:bCs/>
        </w:rPr>
        <w:t>Summary of Findings and Recommendations   </w:t>
      </w:r>
    </w:p>
    <w:p w14:paraId="3CD813C4" w14:textId="3463649A" w:rsidR="0023607C" w:rsidRPr="00403604" w:rsidRDefault="00EB77C8" w:rsidP="002C6206">
      <w:pPr>
        <w:ind w:left="284" w:right="-46" w:hanging="284"/>
        <w:jc w:val="both"/>
        <w:rPr>
          <w:rFonts w:ascii="Calibri" w:hAnsi="Calibri" w:cs="Calibri"/>
        </w:rPr>
      </w:pPr>
      <w:r w:rsidRPr="5C7268AA">
        <w:rPr>
          <w:rFonts w:ascii="Calibri" w:hAnsi="Calibri" w:cs="Calibri"/>
        </w:rPr>
        <w:t>4.</w:t>
      </w:r>
      <w:r>
        <w:tab/>
      </w:r>
      <w:r w:rsidR="0023607C" w:rsidRPr="5C7268AA">
        <w:rPr>
          <w:rFonts w:ascii="Calibri" w:hAnsi="Calibri" w:cs="Calibri"/>
        </w:rPr>
        <w:t>The Review Team</w:t>
      </w:r>
      <w:r w:rsidR="0080729D" w:rsidRPr="5C7268AA">
        <w:rPr>
          <w:rFonts w:ascii="Calibri" w:hAnsi="Calibri" w:cs="Calibri"/>
        </w:rPr>
        <w:t xml:space="preserve"> observed a set of behaviours and relationships which indicated a significant amount of mutual respect and trust between the Court and the Executive. </w:t>
      </w:r>
      <w:r w:rsidR="00E70F4A" w:rsidRPr="5C7268AA">
        <w:rPr>
          <w:rFonts w:ascii="Calibri" w:hAnsi="Calibri" w:cs="Calibri"/>
        </w:rPr>
        <w:t>There was</w:t>
      </w:r>
      <w:r w:rsidR="0080729D" w:rsidRPr="5C7268AA">
        <w:rPr>
          <w:rFonts w:ascii="Calibri" w:hAnsi="Calibri" w:cs="Calibri"/>
        </w:rPr>
        <w:t xml:space="preserve"> </w:t>
      </w:r>
      <w:r w:rsidR="0080729D" w:rsidRPr="5C7268AA">
        <w:rPr>
          <w:rFonts w:ascii="Calibri" w:eastAsia="Times New Roman" w:hAnsi="Calibri" w:cs="Calibri"/>
          <w:color w:val="000000" w:themeColor="text1"/>
        </w:rPr>
        <w:t xml:space="preserve">clear evidence of cohesiveness and of acting in concert across the stakeholder groups that was consistent with a governance and management focus on careful stewardship of the University, its community and </w:t>
      </w:r>
      <w:r w:rsidR="0080729D" w:rsidRPr="5C7268AA">
        <w:rPr>
          <w:rFonts w:ascii="Calibri" w:eastAsia="Times New Roman" w:hAnsi="Calibri" w:cs="Calibri"/>
          <w:color w:val="000000" w:themeColor="text1"/>
        </w:rPr>
        <w:lastRenderedPageBreak/>
        <w:t xml:space="preserve">environment.  Almost all felt listened to and respected.  The positive environment was partly attributed to the </w:t>
      </w:r>
      <w:proofErr w:type="gramStart"/>
      <w:r w:rsidR="0080729D" w:rsidRPr="5C7268AA">
        <w:rPr>
          <w:rFonts w:ascii="Calibri" w:eastAsia="Times New Roman" w:hAnsi="Calibri" w:cs="Calibri"/>
          <w:color w:val="000000" w:themeColor="text1"/>
        </w:rPr>
        <w:t>Principal's</w:t>
      </w:r>
      <w:proofErr w:type="gramEnd"/>
      <w:r w:rsidR="0080729D" w:rsidRPr="5C7268AA">
        <w:rPr>
          <w:rFonts w:ascii="Calibri" w:eastAsia="Times New Roman" w:hAnsi="Calibri" w:cs="Calibri"/>
          <w:color w:val="000000" w:themeColor="text1"/>
        </w:rPr>
        <w:t xml:space="preserve"> leadership in setting the </w:t>
      </w:r>
      <w:r w:rsidR="00327181" w:rsidRPr="5C7268AA">
        <w:rPr>
          <w:rFonts w:ascii="Calibri" w:eastAsia="Times New Roman" w:hAnsi="Calibri" w:cs="Calibri"/>
          <w:color w:val="000000" w:themeColor="text1"/>
        </w:rPr>
        <w:t>U</w:t>
      </w:r>
      <w:r w:rsidR="0080729D" w:rsidRPr="5C7268AA">
        <w:rPr>
          <w:rFonts w:ascii="Calibri" w:eastAsia="Times New Roman" w:hAnsi="Calibri" w:cs="Calibri"/>
          <w:color w:val="000000" w:themeColor="text1"/>
        </w:rPr>
        <w:t xml:space="preserve">niversity’s culture.  This was reflected in the </w:t>
      </w:r>
      <w:r w:rsidR="006D0546" w:rsidRPr="5C7268AA">
        <w:rPr>
          <w:rFonts w:ascii="Calibri" w:eastAsia="Times New Roman" w:hAnsi="Calibri" w:cs="Calibri"/>
          <w:color w:val="000000" w:themeColor="text1"/>
        </w:rPr>
        <w:t xml:space="preserve">member </w:t>
      </w:r>
      <w:r w:rsidR="0080729D" w:rsidRPr="5C7268AA">
        <w:rPr>
          <w:rFonts w:ascii="Calibri" w:eastAsia="Times New Roman" w:hAnsi="Calibri" w:cs="Calibri"/>
          <w:color w:val="000000" w:themeColor="text1"/>
        </w:rPr>
        <w:t>survey with an overall score of 97% for those questions related to working relationships and board room behaviours and 93% for those related to Court commitment to organisational vision, culture and values.</w:t>
      </w:r>
      <w:r w:rsidR="00CA0FB6" w:rsidRPr="5C7268AA">
        <w:rPr>
          <w:i/>
          <w:iCs/>
        </w:rPr>
        <w:t xml:space="preserve">  </w:t>
      </w:r>
      <w:r w:rsidR="0023607C" w:rsidRPr="5C7268AA">
        <w:rPr>
          <w:rFonts w:ascii="Calibri" w:hAnsi="Calibri" w:cs="Calibri"/>
        </w:rPr>
        <w:t>The Executive made significant efforts to be open and provide the Court with a wealth of information; in return, much was delegated and entrusted to the Executive.  There was an impressive Court with a clear</w:t>
      </w:r>
      <w:r w:rsidR="0023607C" w:rsidRPr="5C7268AA">
        <w:rPr>
          <w:rFonts w:ascii="Calibri" w:hAnsi="Calibri" w:cs="Calibri"/>
          <w:b/>
          <w:bCs/>
        </w:rPr>
        <w:t xml:space="preserve"> </w:t>
      </w:r>
      <w:r w:rsidR="0023607C" w:rsidRPr="5C7268AA">
        <w:rPr>
          <w:rFonts w:ascii="Calibri" w:hAnsi="Calibri" w:cs="Calibri"/>
        </w:rPr>
        <w:t xml:space="preserve">commitment to the University and a desire to make the quality </w:t>
      </w:r>
      <w:r w:rsidR="0023607C" w:rsidRPr="00403604">
        <w:rPr>
          <w:rFonts w:ascii="Calibri" w:hAnsi="Calibri" w:cs="Calibri"/>
        </w:rPr>
        <w:t>of the University more widely recognised. </w:t>
      </w:r>
    </w:p>
    <w:p w14:paraId="2A050A0F" w14:textId="3BAFECEF" w:rsidR="00A869F5" w:rsidRDefault="005C76F6" w:rsidP="002C6206">
      <w:pPr>
        <w:ind w:left="284" w:right="-46" w:hanging="284"/>
        <w:jc w:val="both"/>
        <w:rPr>
          <w:rFonts w:ascii="Calibri" w:hAnsi="Calibri" w:cs="Calibri"/>
        </w:rPr>
      </w:pPr>
      <w:r w:rsidRPr="00403604">
        <w:rPr>
          <w:rFonts w:ascii="Calibri" w:hAnsi="Calibri" w:cs="Calibri"/>
        </w:rPr>
        <w:t xml:space="preserve">5. </w:t>
      </w:r>
      <w:r w:rsidR="00403604">
        <w:rPr>
          <w:rFonts w:ascii="Calibri" w:hAnsi="Calibri" w:cs="Calibri"/>
        </w:rPr>
        <w:t xml:space="preserve"> The Review Team </w:t>
      </w:r>
      <w:r w:rsidR="00403604" w:rsidRPr="00403604">
        <w:rPr>
          <w:rFonts w:ascii="Calibri" w:hAnsi="Calibri" w:cs="Calibri"/>
        </w:rPr>
        <w:t>found no major deficiencies in governance arrangements and observed some opportunities for the University to make improvements to the approach to the induction and development of members of Court, ensuring a more comprehensive student voice and to continue in its efforts to diversify the membership of the Court. </w:t>
      </w:r>
    </w:p>
    <w:p w14:paraId="50118A86" w14:textId="37FF4B5C" w:rsidR="0023607C" w:rsidRPr="0023607C" w:rsidRDefault="00975D1B" w:rsidP="00B80B17">
      <w:pPr>
        <w:ind w:left="284" w:right="-46" w:hanging="284"/>
        <w:jc w:val="both"/>
        <w:rPr>
          <w:rFonts w:ascii="Calibri" w:hAnsi="Calibri" w:cs="Calibri"/>
        </w:rPr>
      </w:pPr>
      <w:r>
        <w:rPr>
          <w:rFonts w:ascii="Calibri" w:hAnsi="Calibri" w:cs="Calibri"/>
        </w:rPr>
        <w:t>6.</w:t>
      </w:r>
      <w:r>
        <w:rPr>
          <w:rFonts w:ascii="Calibri" w:hAnsi="Calibri" w:cs="Calibri"/>
        </w:rPr>
        <w:tab/>
      </w:r>
      <w:r w:rsidR="00AE7AB0">
        <w:rPr>
          <w:rFonts w:ascii="Calibri" w:hAnsi="Calibri" w:cs="Calibri"/>
        </w:rPr>
        <w:t xml:space="preserve">Recommendations </w:t>
      </w:r>
      <w:r w:rsidR="00B80B17" w:rsidRPr="00B80B17">
        <w:rPr>
          <w:rFonts w:ascii="Calibri" w:hAnsi="Calibri" w:cs="Calibri"/>
        </w:rPr>
        <w:t>were intended as an initial prompt for the University to consider in developing an action plan for implementation. </w:t>
      </w:r>
    </w:p>
    <w:p w14:paraId="7CE861DB" w14:textId="2B265D04" w:rsidR="00090E8D" w:rsidRPr="00EB77C8" w:rsidRDefault="043ADCE3" w:rsidP="00B80B17">
      <w:pPr>
        <w:ind w:left="284" w:right="-46" w:hanging="284"/>
        <w:jc w:val="both"/>
        <w:rPr>
          <w:rFonts w:ascii="Calibri" w:hAnsi="Calibri" w:cs="Calibri"/>
        </w:rPr>
      </w:pPr>
      <w:r w:rsidRPr="5C7268AA">
        <w:rPr>
          <w:rFonts w:ascii="Calibri" w:hAnsi="Calibri" w:cs="Calibri"/>
        </w:rPr>
        <w:t>7</w:t>
      </w:r>
      <w:r w:rsidR="7CE77F8D" w:rsidRPr="5C7268AA">
        <w:rPr>
          <w:rFonts w:ascii="Calibri" w:hAnsi="Calibri" w:cs="Calibri"/>
        </w:rPr>
        <w:t xml:space="preserve">. </w:t>
      </w:r>
      <w:r w:rsidR="0071185B">
        <w:tab/>
      </w:r>
      <w:r w:rsidR="6618E2E6" w:rsidRPr="5C7268AA">
        <w:rPr>
          <w:rFonts w:ascii="Calibri" w:hAnsi="Calibri" w:cs="Calibri"/>
        </w:rPr>
        <w:t>The action plan is based on recommendations</w:t>
      </w:r>
      <w:r w:rsidR="3EB4D3E7" w:rsidRPr="5C7268AA">
        <w:rPr>
          <w:rFonts w:ascii="Calibri" w:hAnsi="Calibri" w:cs="Calibri"/>
        </w:rPr>
        <w:t xml:space="preserve"> </w:t>
      </w:r>
      <w:r w:rsidR="6044D0D3" w:rsidRPr="5C7268AA">
        <w:rPr>
          <w:rFonts w:ascii="Calibri" w:hAnsi="Calibri" w:cs="Calibri"/>
        </w:rPr>
        <w:t>from the Review</w:t>
      </w:r>
      <w:r w:rsidR="3146FBFD" w:rsidRPr="5C7268AA">
        <w:rPr>
          <w:rFonts w:ascii="Calibri" w:hAnsi="Calibri" w:cs="Calibri"/>
        </w:rPr>
        <w:t xml:space="preserve"> and include</w:t>
      </w:r>
      <w:r w:rsidR="6261B3A6" w:rsidRPr="5C7268AA">
        <w:rPr>
          <w:rFonts w:ascii="Calibri" w:hAnsi="Calibri" w:cs="Calibri"/>
        </w:rPr>
        <w:t>s</w:t>
      </w:r>
      <w:r w:rsidR="3146FBFD" w:rsidRPr="5C7268AA">
        <w:rPr>
          <w:rFonts w:ascii="Calibri" w:hAnsi="Calibri" w:cs="Calibri"/>
        </w:rPr>
        <w:t xml:space="preserve"> a </w:t>
      </w:r>
      <w:r w:rsidR="6618E2E6" w:rsidRPr="5C7268AA">
        <w:rPr>
          <w:rFonts w:ascii="Calibri" w:hAnsi="Calibri" w:cs="Calibri"/>
        </w:rPr>
        <w:t xml:space="preserve">brief statement </w:t>
      </w:r>
      <w:r w:rsidR="7CE77F8D" w:rsidRPr="5C7268AA">
        <w:rPr>
          <w:rFonts w:ascii="Calibri" w:hAnsi="Calibri" w:cs="Calibri"/>
        </w:rPr>
        <w:t>on how the University has responded.</w:t>
      </w:r>
    </w:p>
    <w:tbl>
      <w:tblPr>
        <w:tblStyle w:val="TableGrid"/>
        <w:tblW w:w="0" w:type="auto"/>
        <w:tblInd w:w="421" w:type="dxa"/>
        <w:tblLayout w:type="fixed"/>
        <w:tblLook w:val="04A0" w:firstRow="1" w:lastRow="0" w:firstColumn="1" w:lastColumn="0" w:noHBand="0" w:noVBand="1"/>
      </w:tblPr>
      <w:tblGrid>
        <w:gridCol w:w="992"/>
        <w:gridCol w:w="2977"/>
        <w:gridCol w:w="4626"/>
      </w:tblGrid>
      <w:tr w:rsidR="00193844" w14:paraId="22457A68" w14:textId="77777777" w:rsidTr="62EA0BBE">
        <w:tc>
          <w:tcPr>
            <w:tcW w:w="992" w:type="dxa"/>
          </w:tcPr>
          <w:p w14:paraId="5CC51B28" w14:textId="6E4704DB" w:rsidR="009C08C5" w:rsidRDefault="009C08C5">
            <w:pPr>
              <w:rPr>
                <w:rFonts w:ascii="Calibri" w:hAnsi="Calibri" w:cs="Calibri"/>
                <w:b/>
                <w:bCs/>
              </w:rPr>
            </w:pPr>
            <w:r>
              <w:rPr>
                <w:rFonts w:ascii="Calibri" w:hAnsi="Calibri" w:cs="Calibri"/>
                <w:b/>
                <w:bCs/>
              </w:rPr>
              <w:t>Ref.</w:t>
            </w:r>
          </w:p>
        </w:tc>
        <w:tc>
          <w:tcPr>
            <w:tcW w:w="2977" w:type="dxa"/>
          </w:tcPr>
          <w:p w14:paraId="7D4808BE" w14:textId="45294EE9" w:rsidR="009C08C5" w:rsidRDefault="009C08C5">
            <w:pPr>
              <w:rPr>
                <w:rFonts w:ascii="Calibri" w:hAnsi="Calibri" w:cs="Calibri"/>
                <w:b/>
                <w:bCs/>
              </w:rPr>
            </w:pPr>
            <w:r>
              <w:rPr>
                <w:rFonts w:ascii="Calibri" w:hAnsi="Calibri" w:cs="Calibri"/>
                <w:b/>
                <w:bCs/>
              </w:rPr>
              <w:t xml:space="preserve">Recommendation </w:t>
            </w:r>
          </w:p>
        </w:tc>
        <w:tc>
          <w:tcPr>
            <w:tcW w:w="4626" w:type="dxa"/>
          </w:tcPr>
          <w:p w14:paraId="4F8451DD" w14:textId="7228EBA4" w:rsidR="009C08C5" w:rsidRDefault="009C08C5">
            <w:pPr>
              <w:rPr>
                <w:rFonts w:ascii="Calibri" w:hAnsi="Calibri" w:cs="Calibri"/>
                <w:b/>
                <w:bCs/>
              </w:rPr>
            </w:pPr>
            <w:r>
              <w:rPr>
                <w:rFonts w:ascii="Calibri" w:hAnsi="Calibri" w:cs="Calibri"/>
                <w:b/>
                <w:bCs/>
              </w:rPr>
              <w:t xml:space="preserve">Action </w:t>
            </w:r>
          </w:p>
        </w:tc>
      </w:tr>
      <w:tr w:rsidR="00193844" w14:paraId="3A922ED0" w14:textId="77777777" w:rsidTr="62EA0BBE">
        <w:tc>
          <w:tcPr>
            <w:tcW w:w="992" w:type="dxa"/>
          </w:tcPr>
          <w:p w14:paraId="140E6442" w14:textId="6E9FD48A" w:rsidR="009C08C5" w:rsidRDefault="009C08C5" w:rsidP="00463DB7">
            <w:pPr>
              <w:ind w:right="521"/>
              <w:jc w:val="both"/>
              <w:rPr>
                <w:rFonts w:ascii="Calibri" w:hAnsi="Calibri" w:cs="Calibri"/>
              </w:rPr>
            </w:pPr>
            <w:proofErr w:type="spellStart"/>
            <w:r>
              <w:rPr>
                <w:rFonts w:ascii="Calibri" w:hAnsi="Calibri" w:cs="Calibri"/>
              </w:rPr>
              <w:t>i</w:t>
            </w:r>
            <w:proofErr w:type="spellEnd"/>
            <w:r>
              <w:rPr>
                <w:rFonts w:ascii="Calibri" w:hAnsi="Calibri" w:cs="Calibri"/>
              </w:rPr>
              <w:t xml:space="preserve">. </w:t>
            </w:r>
          </w:p>
        </w:tc>
        <w:tc>
          <w:tcPr>
            <w:tcW w:w="2977" w:type="dxa"/>
          </w:tcPr>
          <w:p w14:paraId="5E75A991" w14:textId="625BA81D" w:rsidR="009C08C5" w:rsidRPr="00463DB7" w:rsidRDefault="009C08C5" w:rsidP="009C08C5">
            <w:pPr>
              <w:jc w:val="both"/>
              <w:rPr>
                <w:rFonts w:ascii="Calibri" w:hAnsi="Calibri" w:cs="Calibri"/>
              </w:rPr>
            </w:pPr>
            <w:r w:rsidRPr="0023607C">
              <w:rPr>
                <w:rFonts w:ascii="Calibri" w:hAnsi="Calibri" w:cs="Calibri"/>
              </w:rPr>
              <w:t>After any leadership changes, the Executive and Court discuss how to ensure that they maintain a shared understanding of the place and benefits of early debate and constructive challenge.</w:t>
            </w:r>
          </w:p>
        </w:tc>
        <w:tc>
          <w:tcPr>
            <w:tcW w:w="4626" w:type="dxa"/>
          </w:tcPr>
          <w:p w14:paraId="7A1225A9" w14:textId="0B38B6E8" w:rsidR="00220C89" w:rsidRDefault="66289EDF" w:rsidP="00072316">
            <w:pPr>
              <w:jc w:val="both"/>
              <w:rPr>
                <w:rFonts w:ascii="Calibri" w:hAnsi="Calibri" w:cs="Calibri"/>
              </w:rPr>
            </w:pPr>
            <w:r w:rsidRPr="5C7268AA">
              <w:rPr>
                <w:rFonts w:ascii="Calibri" w:hAnsi="Calibri" w:cs="Calibri"/>
              </w:rPr>
              <w:t>Undertaken</w:t>
            </w:r>
            <w:r w:rsidR="369E0437" w:rsidRPr="5C7268AA">
              <w:rPr>
                <w:rFonts w:ascii="Calibri" w:hAnsi="Calibri" w:cs="Calibri"/>
              </w:rPr>
              <w:t xml:space="preserve"> on</w:t>
            </w:r>
            <w:r w:rsidR="15C6EC55" w:rsidRPr="5C7268AA">
              <w:rPr>
                <w:rFonts w:ascii="Calibri" w:hAnsi="Calibri" w:cs="Calibri"/>
              </w:rPr>
              <w:t xml:space="preserve"> an ongoing basis.  </w:t>
            </w:r>
          </w:p>
          <w:p w14:paraId="7EBE8CAC" w14:textId="77777777" w:rsidR="00220C89" w:rsidRDefault="00220C89" w:rsidP="00072316">
            <w:pPr>
              <w:jc w:val="both"/>
              <w:rPr>
                <w:rFonts w:ascii="Calibri" w:hAnsi="Calibri" w:cs="Calibri"/>
              </w:rPr>
            </w:pPr>
          </w:p>
          <w:p w14:paraId="62F70BF2" w14:textId="253BB5EA" w:rsidR="009C08C5" w:rsidRPr="00072316" w:rsidRDefault="009C08C5" w:rsidP="00072316">
            <w:pPr>
              <w:jc w:val="both"/>
              <w:rPr>
                <w:rFonts w:ascii="Calibri" w:hAnsi="Calibri" w:cs="Calibri"/>
                <w:highlight w:val="yellow"/>
              </w:rPr>
            </w:pPr>
            <w:r w:rsidRPr="62EA0BBE">
              <w:rPr>
                <w:rFonts w:ascii="Calibri" w:hAnsi="Calibri" w:cs="Calibri"/>
              </w:rPr>
              <w:t>Court and the Executive take responsibility for ensuring the effective management of the University and planning the institution’s strategic development and future direction</w:t>
            </w:r>
            <w:r w:rsidR="00466CCF" w:rsidRPr="62EA0BBE">
              <w:rPr>
                <w:rFonts w:ascii="Calibri" w:hAnsi="Calibri" w:cs="Calibri"/>
              </w:rPr>
              <w:t>.</w:t>
            </w:r>
            <w:r w:rsidRPr="62EA0BBE">
              <w:rPr>
                <w:rFonts w:ascii="Calibri" w:hAnsi="Calibri" w:cs="Calibri"/>
              </w:rPr>
              <w:t xml:space="preserve"> </w:t>
            </w:r>
          </w:p>
        </w:tc>
      </w:tr>
      <w:tr w:rsidR="00193844" w14:paraId="7B69143C" w14:textId="77777777" w:rsidTr="62EA0BBE">
        <w:tc>
          <w:tcPr>
            <w:tcW w:w="992" w:type="dxa"/>
          </w:tcPr>
          <w:p w14:paraId="28B92097" w14:textId="5FBF7D94" w:rsidR="009C08C5" w:rsidRDefault="009C08C5" w:rsidP="00463DB7">
            <w:pPr>
              <w:ind w:right="521"/>
              <w:jc w:val="both"/>
              <w:rPr>
                <w:rFonts w:ascii="Calibri" w:hAnsi="Calibri" w:cs="Calibri"/>
              </w:rPr>
            </w:pPr>
            <w:r>
              <w:rPr>
                <w:rFonts w:ascii="Calibri" w:hAnsi="Calibri" w:cs="Calibri"/>
              </w:rPr>
              <w:t xml:space="preserve">ii. </w:t>
            </w:r>
          </w:p>
        </w:tc>
        <w:tc>
          <w:tcPr>
            <w:tcW w:w="2977" w:type="dxa"/>
          </w:tcPr>
          <w:p w14:paraId="151AAA9F" w14:textId="7F26EDFD" w:rsidR="009C08C5" w:rsidRPr="009C08C5" w:rsidRDefault="009C08C5" w:rsidP="009C08C5">
            <w:pPr>
              <w:jc w:val="both"/>
              <w:rPr>
                <w:rFonts w:ascii="Calibri" w:hAnsi="Calibri" w:cs="Calibri"/>
              </w:rPr>
            </w:pPr>
            <w:r w:rsidRPr="0023607C">
              <w:rPr>
                <w:rFonts w:ascii="Calibri" w:hAnsi="Calibri" w:cs="Calibri"/>
              </w:rPr>
              <w:t>The University continues to explore innovative ways of developing diversity and specifically explores the possibility of using a Board Apprenticeship scheme. </w:t>
            </w:r>
          </w:p>
        </w:tc>
        <w:tc>
          <w:tcPr>
            <w:tcW w:w="4626" w:type="dxa"/>
          </w:tcPr>
          <w:p w14:paraId="27263332" w14:textId="704CE47C" w:rsidR="00A41224" w:rsidRPr="00657332" w:rsidRDefault="2AEA99F3" w:rsidP="00657332">
            <w:pPr>
              <w:jc w:val="both"/>
              <w:rPr>
                <w:rFonts w:ascii="Calibri" w:hAnsi="Calibri" w:cs="Calibri"/>
              </w:rPr>
            </w:pPr>
            <w:r w:rsidRPr="5C7268AA">
              <w:rPr>
                <w:rFonts w:ascii="Calibri" w:hAnsi="Calibri" w:cs="Calibri"/>
              </w:rPr>
              <w:t>This will be considered on an ongoing basis</w:t>
            </w:r>
            <w:r w:rsidR="7618F677" w:rsidRPr="5C7268AA">
              <w:rPr>
                <w:rFonts w:ascii="Calibri" w:hAnsi="Calibri" w:cs="Calibri"/>
              </w:rPr>
              <w:t xml:space="preserve"> by Governance and Nominations Committee</w:t>
            </w:r>
            <w:r w:rsidRPr="5C7268AA">
              <w:rPr>
                <w:rFonts w:ascii="Calibri" w:hAnsi="Calibri" w:cs="Calibri"/>
              </w:rPr>
              <w:t xml:space="preserve">.  </w:t>
            </w:r>
          </w:p>
          <w:p w14:paraId="6F18753B" w14:textId="77777777" w:rsidR="00A41224" w:rsidRPr="00657332" w:rsidRDefault="00A41224" w:rsidP="00657332">
            <w:pPr>
              <w:jc w:val="both"/>
              <w:rPr>
                <w:rFonts w:ascii="Calibri" w:hAnsi="Calibri" w:cs="Calibri"/>
              </w:rPr>
            </w:pPr>
          </w:p>
          <w:p w14:paraId="3B104D0F" w14:textId="7F3889FA" w:rsidR="009C08C5" w:rsidRPr="00657332" w:rsidRDefault="002F22E8" w:rsidP="00657332">
            <w:pPr>
              <w:jc w:val="both"/>
              <w:rPr>
                <w:rFonts w:ascii="Calibri" w:hAnsi="Calibri" w:cs="Calibri"/>
              </w:rPr>
            </w:pPr>
            <w:r w:rsidRPr="00657332">
              <w:rPr>
                <w:rFonts w:ascii="Calibri" w:hAnsi="Calibri" w:cs="Calibri"/>
              </w:rPr>
              <w:t>The University recognises that diversity enriches the work, learning and research experiences of the entire campus and community</w:t>
            </w:r>
            <w:r w:rsidR="007E28CF" w:rsidRPr="00657332">
              <w:rPr>
                <w:rFonts w:ascii="Calibri" w:hAnsi="Calibri" w:cs="Calibri"/>
              </w:rPr>
              <w:t xml:space="preserve">.  </w:t>
            </w:r>
            <w:r w:rsidR="00FD53BF" w:rsidRPr="00657332">
              <w:rPr>
                <w:rFonts w:ascii="Calibri" w:hAnsi="Calibri" w:cs="Calibri"/>
              </w:rPr>
              <w:t>University Court, the governing body, monitor</w:t>
            </w:r>
            <w:r w:rsidR="0086169F" w:rsidRPr="00657332">
              <w:rPr>
                <w:rFonts w:ascii="Calibri" w:hAnsi="Calibri" w:cs="Calibri"/>
              </w:rPr>
              <w:t>s</w:t>
            </w:r>
            <w:r w:rsidR="00FD53BF" w:rsidRPr="00657332">
              <w:rPr>
                <w:rFonts w:ascii="Calibri" w:hAnsi="Calibri" w:cs="Calibri"/>
              </w:rPr>
              <w:t xml:space="preserve"> its composition regarding the balance and diversity of its members.  Our Governance </w:t>
            </w:r>
            <w:r w:rsidR="00C50E56">
              <w:rPr>
                <w:rFonts w:ascii="Calibri" w:hAnsi="Calibri" w:cs="Calibri"/>
              </w:rPr>
              <w:t xml:space="preserve">and </w:t>
            </w:r>
            <w:r w:rsidR="00FD53BF" w:rsidRPr="00657332">
              <w:rPr>
                <w:rFonts w:ascii="Calibri" w:hAnsi="Calibri" w:cs="Calibri"/>
              </w:rPr>
              <w:t xml:space="preserve">Nominations Committee is responsible for the recruitment of lay members of Court and makes recommendations to Court concerning the appointment of all members of Court and other Committees.  The Committee in making its appointments </w:t>
            </w:r>
            <w:r w:rsidR="00657332" w:rsidRPr="00657332">
              <w:rPr>
                <w:rFonts w:ascii="Calibri" w:hAnsi="Calibri" w:cs="Calibri"/>
              </w:rPr>
              <w:t xml:space="preserve">will </w:t>
            </w:r>
            <w:r w:rsidR="00FD53BF" w:rsidRPr="00657332">
              <w:rPr>
                <w:rFonts w:ascii="Calibri" w:hAnsi="Calibri" w:cs="Calibri"/>
              </w:rPr>
              <w:t>pay regard to the balance of membership and the needs of the University for expertise in important areas of its operation. </w:t>
            </w:r>
          </w:p>
        </w:tc>
      </w:tr>
      <w:tr w:rsidR="00193844" w14:paraId="43F08617" w14:textId="77777777" w:rsidTr="62EA0BBE">
        <w:tc>
          <w:tcPr>
            <w:tcW w:w="992" w:type="dxa"/>
          </w:tcPr>
          <w:p w14:paraId="0CD4BD9D" w14:textId="34CBB53C" w:rsidR="009C08C5" w:rsidRDefault="009C08C5" w:rsidP="00CF61A9">
            <w:pPr>
              <w:ind w:right="521"/>
              <w:jc w:val="both"/>
              <w:rPr>
                <w:rFonts w:ascii="Calibri" w:hAnsi="Calibri" w:cs="Calibri"/>
              </w:rPr>
            </w:pPr>
            <w:r>
              <w:rPr>
                <w:rFonts w:ascii="Calibri" w:hAnsi="Calibri" w:cs="Calibri"/>
              </w:rPr>
              <w:t>iii.</w:t>
            </w:r>
          </w:p>
        </w:tc>
        <w:tc>
          <w:tcPr>
            <w:tcW w:w="2977" w:type="dxa"/>
          </w:tcPr>
          <w:p w14:paraId="7B62C0C3" w14:textId="7FBBB8D1" w:rsidR="009C08C5" w:rsidRDefault="009C08C5" w:rsidP="009C08C5">
            <w:pPr>
              <w:ind w:right="93"/>
              <w:jc w:val="both"/>
              <w:rPr>
                <w:rFonts w:ascii="Calibri" w:hAnsi="Calibri" w:cs="Calibri"/>
              </w:rPr>
            </w:pPr>
            <w:r w:rsidRPr="0023607C">
              <w:rPr>
                <w:rFonts w:ascii="Calibri" w:hAnsi="Calibri" w:cs="Calibri"/>
              </w:rPr>
              <w:t xml:space="preserve">The University reviews its approach to induction, so that it formally identifies the specific knowledge that members need and how they can acquire it. This should include further consideration </w:t>
            </w:r>
            <w:r w:rsidRPr="0023607C">
              <w:rPr>
                <w:rFonts w:ascii="Calibri" w:hAnsi="Calibri" w:cs="Calibri"/>
              </w:rPr>
              <w:lastRenderedPageBreak/>
              <w:t>of the needs of student members.  </w:t>
            </w:r>
          </w:p>
        </w:tc>
        <w:tc>
          <w:tcPr>
            <w:tcW w:w="4626" w:type="dxa"/>
          </w:tcPr>
          <w:p w14:paraId="765F540F" w14:textId="77777777" w:rsidR="008975CD" w:rsidRDefault="009C08C5" w:rsidP="008975CD">
            <w:pPr>
              <w:jc w:val="both"/>
              <w:rPr>
                <w:rFonts w:ascii="Calibri" w:hAnsi="Calibri" w:cs="Calibri"/>
              </w:rPr>
            </w:pPr>
            <w:r w:rsidRPr="009B446A">
              <w:rPr>
                <w:rFonts w:ascii="Calibri" w:hAnsi="Calibri" w:cs="Calibri"/>
              </w:rPr>
              <w:lastRenderedPageBreak/>
              <w:t>Induction is an ongoing matter for</w:t>
            </w:r>
            <w:r w:rsidR="005F758C" w:rsidRPr="009B446A">
              <w:rPr>
                <w:rFonts w:ascii="Calibri" w:hAnsi="Calibri" w:cs="Calibri"/>
              </w:rPr>
              <w:t xml:space="preserve"> Governance and Nominations Committee</w:t>
            </w:r>
            <w:r w:rsidR="008975CD">
              <w:rPr>
                <w:rFonts w:ascii="Calibri" w:hAnsi="Calibri" w:cs="Calibri"/>
              </w:rPr>
              <w:t xml:space="preserve"> and n</w:t>
            </w:r>
            <w:r w:rsidR="003549B6" w:rsidRPr="009B446A">
              <w:rPr>
                <w:rFonts w:ascii="Calibri" w:hAnsi="Calibri" w:cs="Calibri"/>
              </w:rPr>
              <w:t>ew member</w:t>
            </w:r>
            <w:r w:rsidR="009B446A" w:rsidRPr="009B446A">
              <w:rPr>
                <w:rFonts w:ascii="Calibri" w:hAnsi="Calibri" w:cs="Calibri"/>
              </w:rPr>
              <w:t>s</w:t>
            </w:r>
            <w:r w:rsidR="003549B6" w:rsidRPr="009B446A">
              <w:rPr>
                <w:rFonts w:ascii="Calibri" w:hAnsi="Calibri" w:cs="Calibri"/>
              </w:rPr>
              <w:t xml:space="preserve"> receive </w:t>
            </w:r>
            <w:r w:rsidR="008975CD">
              <w:rPr>
                <w:rFonts w:ascii="Calibri" w:hAnsi="Calibri" w:cs="Calibri"/>
              </w:rPr>
              <w:t>a</w:t>
            </w:r>
            <w:r w:rsidR="004B6C74">
              <w:rPr>
                <w:rFonts w:ascii="Calibri" w:hAnsi="Calibri" w:cs="Calibri"/>
              </w:rPr>
              <w:t xml:space="preserve">n </w:t>
            </w:r>
            <w:r w:rsidR="00247DC3" w:rsidRPr="009B446A">
              <w:rPr>
                <w:rFonts w:ascii="Calibri" w:hAnsi="Calibri" w:cs="Calibri"/>
              </w:rPr>
              <w:t>induction on joining University Court and its Committees.</w:t>
            </w:r>
          </w:p>
          <w:p w14:paraId="30655550" w14:textId="77777777" w:rsidR="008975CD" w:rsidRDefault="008975CD" w:rsidP="008975CD">
            <w:pPr>
              <w:jc w:val="both"/>
              <w:rPr>
                <w:rFonts w:ascii="Calibri" w:hAnsi="Calibri" w:cs="Calibri"/>
              </w:rPr>
            </w:pPr>
          </w:p>
          <w:p w14:paraId="1689EA5C" w14:textId="414FF37B" w:rsidR="005F758C" w:rsidRDefault="009E75D6" w:rsidP="008975CD">
            <w:pPr>
              <w:jc w:val="both"/>
              <w:rPr>
                <w:rFonts w:ascii="Calibri" w:hAnsi="Calibri" w:cs="Calibri"/>
                <w:b/>
                <w:bCs/>
              </w:rPr>
            </w:pPr>
            <w:r>
              <w:rPr>
                <w:rFonts w:ascii="Calibri" w:hAnsi="Calibri" w:cs="Calibri"/>
              </w:rPr>
              <w:t xml:space="preserve">Governance and Nominations Committee </w:t>
            </w:r>
            <w:r w:rsidR="00833C88">
              <w:rPr>
                <w:rFonts w:ascii="Calibri" w:hAnsi="Calibri" w:cs="Calibri"/>
              </w:rPr>
              <w:t>w</w:t>
            </w:r>
            <w:r w:rsidR="004B6C74">
              <w:rPr>
                <w:rFonts w:ascii="Calibri" w:hAnsi="Calibri" w:cs="Calibri"/>
              </w:rPr>
              <w:t xml:space="preserve">ill </w:t>
            </w:r>
            <w:r w:rsidR="00F9013C">
              <w:rPr>
                <w:rFonts w:ascii="Calibri" w:hAnsi="Calibri" w:cs="Calibri"/>
              </w:rPr>
              <w:t>ensure induction i</w:t>
            </w:r>
            <w:r w:rsidR="008975CD">
              <w:rPr>
                <w:rFonts w:ascii="Calibri" w:hAnsi="Calibri" w:cs="Calibri"/>
              </w:rPr>
              <w:t>s</w:t>
            </w:r>
            <w:r w:rsidR="00F9013C">
              <w:rPr>
                <w:rFonts w:ascii="Calibri" w:hAnsi="Calibri" w:cs="Calibri"/>
              </w:rPr>
              <w:t xml:space="preserve"> full and </w:t>
            </w:r>
            <w:r w:rsidR="008975CD">
              <w:rPr>
                <w:rFonts w:ascii="Calibri" w:hAnsi="Calibri" w:cs="Calibri"/>
              </w:rPr>
              <w:t>o</w:t>
            </w:r>
            <w:r w:rsidR="00247DC3" w:rsidRPr="009B446A">
              <w:rPr>
                <w:rFonts w:ascii="Calibri" w:hAnsi="Calibri" w:cs="Calibri"/>
              </w:rPr>
              <w:t xml:space="preserve">pportunities </w:t>
            </w:r>
            <w:r w:rsidR="008422AA" w:rsidRPr="009B446A">
              <w:rPr>
                <w:rFonts w:ascii="Calibri" w:hAnsi="Calibri" w:cs="Calibri"/>
              </w:rPr>
              <w:t xml:space="preserve">for </w:t>
            </w:r>
            <w:r w:rsidR="008422AA" w:rsidRPr="009B446A">
              <w:rPr>
                <w:rFonts w:ascii="Calibri" w:hAnsi="Calibri" w:cs="Calibri"/>
              </w:rPr>
              <w:lastRenderedPageBreak/>
              <w:t xml:space="preserve">further </w:t>
            </w:r>
            <w:r w:rsidR="0030438F" w:rsidRPr="009B446A">
              <w:rPr>
                <w:rFonts w:ascii="Calibri" w:hAnsi="Calibri" w:cs="Calibri"/>
              </w:rPr>
              <w:t>development continue</w:t>
            </w:r>
            <w:r w:rsidR="008422AA" w:rsidRPr="009B446A">
              <w:rPr>
                <w:rFonts w:ascii="Calibri" w:hAnsi="Calibri" w:cs="Calibri"/>
              </w:rPr>
              <w:t xml:space="preserve"> to be provided in accordance </w:t>
            </w:r>
            <w:r w:rsidR="009B446A" w:rsidRPr="009B446A">
              <w:rPr>
                <w:rFonts w:ascii="Calibri" w:hAnsi="Calibri" w:cs="Calibri"/>
              </w:rPr>
              <w:t>with the individuals needs and responsibilities.</w:t>
            </w:r>
            <w:r w:rsidR="009B446A">
              <w:rPr>
                <w:rFonts w:ascii="Calibri" w:hAnsi="Calibri" w:cs="Calibri"/>
                <w:b/>
                <w:bCs/>
              </w:rPr>
              <w:t xml:space="preserve"> </w:t>
            </w:r>
            <w:r w:rsidR="00285FE7">
              <w:rPr>
                <w:rFonts w:ascii="Calibri" w:hAnsi="Calibri" w:cs="Calibri"/>
                <w:b/>
                <w:bCs/>
              </w:rPr>
              <w:t xml:space="preserve"> </w:t>
            </w:r>
            <w:r w:rsidR="00512A22" w:rsidRPr="0030438F">
              <w:rPr>
                <w:rFonts w:ascii="Calibri" w:hAnsi="Calibri" w:cs="Calibri"/>
              </w:rPr>
              <w:t xml:space="preserve">Specific attention will continue to be made </w:t>
            </w:r>
            <w:r w:rsidR="00043626" w:rsidRPr="0030438F">
              <w:rPr>
                <w:rFonts w:ascii="Calibri" w:hAnsi="Calibri" w:cs="Calibri"/>
              </w:rPr>
              <w:t xml:space="preserve">for </w:t>
            </w:r>
            <w:r w:rsidR="00BF71A2" w:rsidRPr="0030438F">
              <w:rPr>
                <w:rFonts w:ascii="Calibri" w:hAnsi="Calibri" w:cs="Calibri"/>
              </w:rPr>
              <w:t xml:space="preserve">student governing body members due to their </w:t>
            </w:r>
            <w:r w:rsidR="00CE01FC" w:rsidRPr="0030438F">
              <w:rPr>
                <w:rFonts w:ascii="Calibri" w:hAnsi="Calibri" w:cs="Calibri"/>
              </w:rPr>
              <w:t>short tenure</w:t>
            </w:r>
            <w:r w:rsidR="0030438F" w:rsidRPr="0030438F">
              <w:rPr>
                <w:rFonts w:ascii="Calibri" w:hAnsi="Calibri" w:cs="Calibri"/>
              </w:rPr>
              <w:t xml:space="preserve">.  </w:t>
            </w:r>
            <w:r w:rsidR="00043626" w:rsidRPr="0030438F">
              <w:rPr>
                <w:rFonts w:ascii="Calibri" w:hAnsi="Calibri" w:cs="Calibri"/>
              </w:rPr>
              <w:t xml:space="preserve"> </w:t>
            </w:r>
          </w:p>
        </w:tc>
      </w:tr>
      <w:tr w:rsidR="00193844" w14:paraId="107F757E" w14:textId="77777777" w:rsidTr="62EA0BBE">
        <w:tc>
          <w:tcPr>
            <w:tcW w:w="992" w:type="dxa"/>
          </w:tcPr>
          <w:p w14:paraId="2B427364" w14:textId="142899CC" w:rsidR="009C08C5" w:rsidRDefault="009C08C5" w:rsidP="00463DB7">
            <w:pPr>
              <w:ind w:right="521"/>
              <w:jc w:val="both"/>
              <w:rPr>
                <w:rFonts w:ascii="Calibri" w:hAnsi="Calibri" w:cs="Calibri"/>
              </w:rPr>
            </w:pPr>
            <w:r>
              <w:rPr>
                <w:rFonts w:ascii="Calibri" w:hAnsi="Calibri" w:cs="Calibri"/>
              </w:rPr>
              <w:lastRenderedPageBreak/>
              <w:t>iv.</w:t>
            </w:r>
          </w:p>
        </w:tc>
        <w:tc>
          <w:tcPr>
            <w:tcW w:w="2977" w:type="dxa"/>
          </w:tcPr>
          <w:p w14:paraId="320DE2B5" w14:textId="1ECB77D3" w:rsidR="009C08C5" w:rsidRPr="009C08C5" w:rsidRDefault="009C08C5" w:rsidP="009C08C5">
            <w:pPr>
              <w:ind w:right="93"/>
              <w:jc w:val="both"/>
              <w:rPr>
                <w:rFonts w:ascii="Calibri" w:hAnsi="Calibri" w:cs="Calibri"/>
              </w:rPr>
            </w:pPr>
            <w:r w:rsidRPr="0023607C">
              <w:rPr>
                <w:rFonts w:ascii="Calibri" w:hAnsi="Calibri" w:cs="Calibri"/>
              </w:rPr>
              <w:t>Consideration is given to adopting a more systematic approach to member development interviews and development opportunities.   </w:t>
            </w:r>
          </w:p>
        </w:tc>
        <w:tc>
          <w:tcPr>
            <w:tcW w:w="4626" w:type="dxa"/>
          </w:tcPr>
          <w:p w14:paraId="59BF0714" w14:textId="1F331DD9" w:rsidR="009C08C5" w:rsidRPr="009E4028" w:rsidRDefault="00F530D8" w:rsidP="005965CD">
            <w:pPr>
              <w:jc w:val="both"/>
              <w:rPr>
                <w:rFonts w:ascii="Calibri" w:hAnsi="Calibri" w:cs="Calibri"/>
              </w:rPr>
            </w:pPr>
            <w:r>
              <w:rPr>
                <w:rFonts w:ascii="Calibri" w:hAnsi="Calibri" w:cs="Calibri"/>
              </w:rPr>
              <w:t>The Chair of Court will continue to actively involve m</w:t>
            </w:r>
            <w:r w:rsidR="005B7955" w:rsidRPr="009E4028">
              <w:rPr>
                <w:rFonts w:ascii="Calibri" w:hAnsi="Calibri" w:cs="Calibri"/>
              </w:rPr>
              <w:t xml:space="preserve">embers’ </w:t>
            </w:r>
            <w:r>
              <w:rPr>
                <w:rFonts w:ascii="Calibri" w:hAnsi="Calibri" w:cs="Calibri"/>
              </w:rPr>
              <w:t>i</w:t>
            </w:r>
            <w:r w:rsidR="008B134A" w:rsidRPr="009E4028">
              <w:rPr>
                <w:rFonts w:ascii="Calibri" w:hAnsi="Calibri" w:cs="Calibri"/>
              </w:rPr>
              <w:t xml:space="preserve">n </w:t>
            </w:r>
            <w:r w:rsidR="00193844" w:rsidRPr="009E4028">
              <w:rPr>
                <w:rFonts w:ascii="Calibri" w:hAnsi="Calibri" w:cs="Calibri"/>
              </w:rPr>
              <w:t xml:space="preserve">reviewing their individual contribution </w:t>
            </w:r>
            <w:r w:rsidR="008B134A" w:rsidRPr="009E4028">
              <w:rPr>
                <w:rFonts w:ascii="Calibri" w:hAnsi="Calibri" w:cs="Calibri"/>
              </w:rPr>
              <w:t>(</w:t>
            </w:r>
            <w:r w:rsidR="006B21C1" w:rsidRPr="009E4028">
              <w:rPr>
                <w:rFonts w:ascii="Calibri" w:hAnsi="Calibri" w:cs="Calibri"/>
              </w:rPr>
              <w:t>a minimum of every two years)</w:t>
            </w:r>
            <w:r w:rsidR="009E4028" w:rsidRPr="009E4028">
              <w:rPr>
                <w:rFonts w:ascii="Calibri" w:hAnsi="Calibri" w:cs="Calibri"/>
              </w:rPr>
              <w:t xml:space="preserve">. </w:t>
            </w:r>
            <w:r w:rsidR="00554E59" w:rsidRPr="009E4028">
              <w:rPr>
                <w:rFonts w:ascii="Calibri" w:hAnsi="Calibri" w:cs="Calibri"/>
              </w:rPr>
              <w:t xml:space="preserve"> </w:t>
            </w:r>
            <w:r w:rsidR="0068191D">
              <w:rPr>
                <w:rFonts w:ascii="Calibri" w:hAnsi="Calibri" w:cs="Calibri"/>
              </w:rPr>
              <w:t xml:space="preserve">Opportunities </w:t>
            </w:r>
            <w:r w:rsidR="00096CFB">
              <w:rPr>
                <w:rFonts w:ascii="Calibri" w:hAnsi="Calibri" w:cs="Calibri"/>
              </w:rPr>
              <w:t>for relevant personal development will be identified</w:t>
            </w:r>
            <w:r w:rsidR="005965CD">
              <w:rPr>
                <w:rFonts w:ascii="Calibri" w:hAnsi="Calibri" w:cs="Calibri"/>
              </w:rPr>
              <w:t xml:space="preserve"> through the standardised process. </w:t>
            </w:r>
            <w:r w:rsidR="00096CFB">
              <w:rPr>
                <w:rFonts w:ascii="Calibri" w:hAnsi="Calibri" w:cs="Calibri"/>
              </w:rPr>
              <w:t xml:space="preserve"> </w:t>
            </w:r>
          </w:p>
        </w:tc>
      </w:tr>
      <w:tr w:rsidR="00193844" w14:paraId="34B143C5" w14:textId="77777777" w:rsidTr="62EA0BBE">
        <w:tc>
          <w:tcPr>
            <w:tcW w:w="992" w:type="dxa"/>
          </w:tcPr>
          <w:p w14:paraId="7C32C519" w14:textId="03EF4062" w:rsidR="009C08C5" w:rsidRDefault="009C08C5" w:rsidP="00A62EDD">
            <w:pPr>
              <w:ind w:right="521"/>
              <w:jc w:val="both"/>
              <w:rPr>
                <w:rFonts w:ascii="Calibri" w:hAnsi="Calibri" w:cs="Calibri"/>
              </w:rPr>
            </w:pPr>
            <w:r>
              <w:rPr>
                <w:rFonts w:ascii="Calibri" w:hAnsi="Calibri" w:cs="Calibri"/>
              </w:rPr>
              <w:t xml:space="preserve">v. </w:t>
            </w:r>
          </w:p>
        </w:tc>
        <w:tc>
          <w:tcPr>
            <w:tcW w:w="2977" w:type="dxa"/>
          </w:tcPr>
          <w:p w14:paraId="52AFA2C4" w14:textId="7FB985BE" w:rsidR="009C08C5" w:rsidRDefault="009C08C5" w:rsidP="009C08C5">
            <w:pPr>
              <w:ind w:right="93"/>
              <w:jc w:val="both"/>
              <w:rPr>
                <w:rFonts w:ascii="Calibri" w:hAnsi="Calibri" w:cs="Calibri"/>
              </w:rPr>
            </w:pPr>
            <w:r w:rsidRPr="0023607C">
              <w:rPr>
                <w:rFonts w:ascii="Calibri" w:hAnsi="Calibri" w:cs="Calibri"/>
              </w:rPr>
              <w:t>Discussions are held with student representatives to establish the most effective way to support them in developing their contribution to Court debates. The Court should also consider how more opportunities for it to hear from a wider range of students might be provided.  </w:t>
            </w:r>
          </w:p>
        </w:tc>
        <w:tc>
          <w:tcPr>
            <w:tcW w:w="4626" w:type="dxa"/>
          </w:tcPr>
          <w:p w14:paraId="370422A1" w14:textId="56CD0331" w:rsidR="009C08C5" w:rsidRPr="00A6048D" w:rsidRDefault="3BFD794D" w:rsidP="00A6048D">
            <w:pPr>
              <w:jc w:val="both"/>
              <w:rPr>
                <w:rFonts w:ascii="Calibri" w:hAnsi="Calibri" w:cs="Calibri"/>
              </w:rPr>
            </w:pPr>
            <w:r w:rsidRPr="5C7268AA">
              <w:rPr>
                <w:rFonts w:ascii="Calibri" w:hAnsi="Calibri" w:cs="Calibri"/>
              </w:rPr>
              <w:t>University Court w</w:t>
            </w:r>
            <w:r w:rsidR="097F86E4" w:rsidRPr="5C7268AA">
              <w:rPr>
                <w:rFonts w:ascii="Calibri" w:hAnsi="Calibri" w:cs="Calibri"/>
              </w:rPr>
              <w:t xml:space="preserve">ill continue to take responsibility for </w:t>
            </w:r>
            <w:r w:rsidR="08DE8967" w:rsidRPr="5C7268AA">
              <w:rPr>
                <w:rFonts w:ascii="Calibri" w:hAnsi="Calibri" w:cs="Calibri"/>
              </w:rPr>
              <w:t>understand</w:t>
            </w:r>
            <w:r w:rsidR="113F79A5" w:rsidRPr="5C7268AA">
              <w:rPr>
                <w:rFonts w:ascii="Calibri" w:hAnsi="Calibri" w:cs="Calibri"/>
              </w:rPr>
              <w:t xml:space="preserve">ing </w:t>
            </w:r>
            <w:r w:rsidR="08DE8967" w:rsidRPr="5C7268AA">
              <w:rPr>
                <w:rFonts w:ascii="Calibri" w:hAnsi="Calibri" w:cs="Calibri"/>
              </w:rPr>
              <w:t>the environment the University operates</w:t>
            </w:r>
            <w:r w:rsidR="69AC29D9" w:rsidRPr="5C7268AA">
              <w:rPr>
                <w:rFonts w:ascii="Calibri" w:hAnsi="Calibri" w:cs="Calibri"/>
              </w:rPr>
              <w:t xml:space="preserve"> and will </w:t>
            </w:r>
            <w:r w:rsidR="172C278C" w:rsidRPr="5C7268AA">
              <w:rPr>
                <w:rFonts w:ascii="Calibri" w:hAnsi="Calibri" w:cs="Calibri"/>
              </w:rPr>
              <w:t>en</w:t>
            </w:r>
            <w:r w:rsidR="3BE70FF3" w:rsidRPr="5C7268AA">
              <w:rPr>
                <w:rFonts w:ascii="Calibri" w:hAnsi="Calibri" w:cs="Calibri"/>
              </w:rPr>
              <w:t xml:space="preserve">sure appropriate arrangements are in place for engaging </w:t>
            </w:r>
            <w:r w:rsidR="77E8570D" w:rsidRPr="5C7268AA">
              <w:rPr>
                <w:rFonts w:ascii="Calibri" w:hAnsi="Calibri" w:cs="Calibri"/>
              </w:rPr>
              <w:t>with the student</w:t>
            </w:r>
            <w:r w:rsidR="113F79A5" w:rsidRPr="5C7268AA">
              <w:rPr>
                <w:rFonts w:ascii="Calibri" w:hAnsi="Calibri" w:cs="Calibri"/>
              </w:rPr>
              <w:t>s’</w:t>
            </w:r>
            <w:r w:rsidR="77E8570D" w:rsidRPr="5C7268AA">
              <w:rPr>
                <w:rFonts w:ascii="Calibri" w:hAnsi="Calibri" w:cs="Calibri"/>
              </w:rPr>
              <w:t xml:space="preserve"> association</w:t>
            </w:r>
            <w:r w:rsidR="49A648DF" w:rsidRPr="5C7268AA">
              <w:rPr>
                <w:rFonts w:ascii="Calibri" w:hAnsi="Calibri" w:cs="Calibri"/>
              </w:rPr>
              <w:t xml:space="preserve"> and </w:t>
            </w:r>
            <w:r w:rsidR="00EEC95B" w:rsidRPr="5C7268AA">
              <w:rPr>
                <w:rFonts w:ascii="Calibri" w:hAnsi="Calibri" w:cs="Calibri"/>
              </w:rPr>
              <w:t xml:space="preserve">foster </w:t>
            </w:r>
            <w:r w:rsidR="54556FD8" w:rsidRPr="5C7268AA">
              <w:rPr>
                <w:rFonts w:ascii="Calibri" w:hAnsi="Calibri" w:cs="Calibri"/>
              </w:rPr>
              <w:t>contribution</w:t>
            </w:r>
            <w:r w:rsidR="0C8774B3" w:rsidRPr="5C7268AA">
              <w:rPr>
                <w:rFonts w:ascii="Calibri" w:hAnsi="Calibri" w:cs="Calibri"/>
              </w:rPr>
              <w:t>s</w:t>
            </w:r>
            <w:r w:rsidR="54556FD8" w:rsidRPr="5C7268AA">
              <w:rPr>
                <w:rFonts w:ascii="Calibri" w:hAnsi="Calibri" w:cs="Calibri"/>
              </w:rPr>
              <w:t xml:space="preserve"> </w:t>
            </w:r>
            <w:r w:rsidR="0C8774B3" w:rsidRPr="5C7268AA">
              <w:rPr>
                <w:rFonts w:ascii="Calibri" w:hAnsi="Calibri" w:cs="Calibri"/>
              </w:rPr>
              <w:t xml:space="preserve">from </w:t>
            </w:r>
            <w:r w:rsidR="54556FD8" w:rsidRPr="5C7268AA">
              <w:rPr>
                <w:rFonts w:ascii="Calibri" w:hAnsi="Calibri" w:cs="Calibri"/>
              </w:rPr>
              <w:t xml:space="preserve">student </w:t>
            </w:r>
            <w:r w:rsidR="0C8774B3" w:rsidRPr="5C7268AA">
              <w:rPr>
                <w:rFonts w:ascii="Calibri" w:hAnsi="Calibri" w:cs="Calibri"/>
              </w:rPr>
              <w:t xml:space="preserve">governing body members. </w:t>
            </w:r>
            <w:r w:rsidR="113F79A5" w:rsidRPr="5C7268AA">
              <w:rPr>
                <w:rFonts w:ascii="Calibri" w:hAnsi="Calibri" w:cs="Calibri"/>
              </w:rPr>
              <w:t xml:space="preserve"> </w:t>
            </w:r>
            <w:r w:rsidR="08DE8967" w:rsidRPr="5C7268AA">
              <w:rPr>
                <w:rFonts w:ascii="Calibri" w:hAnsi="Calibri" w:cs="Calibri"/>
              </w:rPr>
              <w:t xml:space="preserve"> </w:t>
            </w:r>
            <w:r w:rsidR="6A64A8D3" w:rsidRPr="5C7268AA">
              <w:rPr>
                <w:rFonts w:ascii="Calibri" w:hAnsi="Calibri" w:cs="Calibri"/>
              </w:rPr>
              <w:t>Th</w:t>
            </w:r>
            <w:r w:rsidR="75EE2ADE" w:rsidRPr="5C7268AA">
              <w:rPr>
                <w:rFonts w:ascii="Calibri" w:hAnsi="Calibri" w:cs="Calibri"/>
              </w:rPr>
              <w:t xml:space="preserve">is includes the opportunities to meet with </w:t>
            </w:r>
            <w:r w:rsidR="0606B9E9" w:rsidRPr="5C7268AA">
              <w:rPr>
                <w:rFonts w:ascii="Calibri" w:hAnsi="Calibri" w:cs="Calibri"/>
              </w:rPr>
              <w:t>the student community</w:t>
            </w:r>
            <w:r w:rsidR="1E1869C6" w:rsidRPr="5C7268AA">
              <w:rPr>
                <w:rFonts w:ascii="Calibri" w:hAnsi="Calibri" w:cs="Calibri"/>
              </w:rPr>
              <w:t xml:space="preserve"> as part of Court’s pre-meeting </w:t>
            </w:r>
            <w:r w:rsidR="4206B9A6" w:rsidRPr="5C7268AA">
              <w:rPr>
                <w:rFonts w:ascii="Calibri" w:hAnsi="Calibri" w:cs="Calibri"/>
              </w:rPr>
              <w:t>briefings and visits.</w:t>
            </w:r>
          </w:p>
        </w:tc>
      </w:tr>
      <w:tr w:rsidR="00193844" w14:paraId="7248F72B" w14:textId="77777777" w:rsidTr="62EA0BBE">
        <w:tc>
          <w:tcPr>
            <w:tcW w:w="992" w:type="dxa"/>
          </w:tcPr>
          <w:p w14:paraId="037755D3" w14:textId="6A067736" w:rsidR="009C08C5" w:rsidRDefault="009C08C5" w:rsidP="00463DB7">
            <w:pPr>
              <w:ind w:right="521"/>
              <w:jc w:val="both"/>
              <w:rPr>
                <w:rFonts w:ascii="Calibri" w:hAnsi="Calibri" w:cs="Calibri"/>
              </w:rPr>
            </w:pPr>
            <w:r>
              <w:rPr>
                <w:rFonts w:ascii="Calibri" w:hAnsi="Calibri" w:cs="Calibri"/>
              </w:rPr>
              <w:t xml:space="preserve">vi. </w:t>
            </w:r>
          </w:p>
        </w:tc>
        <w:tc>
          <w:tcPr>
            <w:tcW w:w="2977" w:type="dxa"/>
          </w:tcPr>
          <w:p w14:paraId="04CB137B" w14:textId="25EDFF13" w:rsidR="009C08C5" w:rsidRPr="009C08C5" w:rsidRDefault="009C08C5" w:rsidP="00A6048D">
            <w:pPr>
              <w:ind w:right="37"/>
              <w:jc w:val="both"/>
              <w:rPr>
                <w:rFonts w:ascii="Calibri" w:hAnsi="Calibri" w:cs="Calibri"/>
              </w:rPr>
            </w:pPr>
            <w:r w:rsidRPr="0023607C">
              <w:rPr>
                <w:rFonts w:ascii="Calibri" w:hAnsi="Calibri" w:cs="Calibri"/>
              </w:rPr>
              <w:t>As part of its approach to external communications, the Court members should be provided with key messages suitable for external audiences, notably on topical matters of public interest.  </w:t>
            </w:r>
          </w:p>
        </w:tc>
        <w:tc>
          <w:tcPr>
            <w:tcW w:w="4626" w:type="dxa"/>
          </w:tcPr>
          <w:p w14:paraId="71F6C1C7" w14:textId="4DA1F2C3" w:rsidR="00846D91" w:rsidRPr="00F8168A" w:rsidRDefault="506BC1A0" w:rsidP="00AB030A">
            <w:pPr>
              <w:jc w:val="both"/>
              <w:rPr>
                <w:rFonts w:ascii="Calibri" w:hAnsi="Calibri" w:cs="Calibri"/>
              </w:rPr>
            </w:pPr>
            <w:r w:rsidRPr="5C7268AA">
              <w:rPr>
                <w:rFonts w:ascii="Calibri" w:hAnsi="Calibri" w:cs="Calibri"/>
              </w:rPr>
              <w:t xml:space="preserve">The University’s </w:t>
            </w:r>
            <w:r w:rsidR="1C17AB4A" w:rsidRPr="5C7268AA">
              <w:rPr>
                <w:rFonts w:ascii="Calibri" w:hAnsi="Calibri" w:cs="Calibri"/>
              </w:rPr>
              <w:t>Communications Team i</w:t>
            </w:r>
            <w:r w:rsidR="26954643" w:rsidRPr="5C7268AA">
              <w:rPr>
                <w:rFonts w:ascii="Calibri" w:hAnsi="Calibri" w:cs="Calibri"/>
              </w:rPr>
              <w:t>s</w:t>
            </w:r>
            <w:r w:rsidR="1C17AB4A" w:rsidRPr="5C7268AA">
              <w:rPr>
                <w:rFonts w:ascii="Calibri" w:hAnsi="Calibri" w:cs="Calibri"/>
              </w:rPr>
              <w:t xml:space="preserve"> the main point of contact fo</w:t>
            </w:r>
            <w:r w:rsidR="26954643" w:rsidRPr="5C7268AA">
              <w:rPr>
                <w:rFonts w:ascii="Calibri" w:hAnsi="Calibri" w:cs="Calibri"/>
              </w:rPr>
              <w:t>r</w:t>
            </w:r>
            <w:r w:rsidR="1C17AB4A" w:rsidRPr="5C7268AA">
              <w:rPr>
                <w:rFonts w:ascii="Calibri" w:hAnsi="Calibri" w:cs="Calibri"/>
              </w:rPr>
              <w:t xml:space="preserve"> media </w:t>
            </w:r>
            <w:r w:rsidR="26954643" w:rsidRPr="5C7268AA">
              <w:rPr>
                <w:rFonts w:ascii="Calibri" w:hAnsi="Calibri" w:cs="Calibri"/>
              </w:rPr>
              <w:t>organisations</w:t>
            </w:r>
            <w:r w:rsidR="1C17AB4A" w:rsidRPr="5C7268AA">
              <w:rPr>
                <w:rFonts w:ascii="Calibri" w:hAnsi="Calibri" w:cs="Calibri"/>
              </w:rPr>
              <w:t xml:space="preserve"> wishing to find out more about</w:t>
            </w:r>
            <w:r w:rsidR="5A85C6E6" w:rsidRPr="5C7268AA">
              <w:rPr>
                <w:rFonts w:ascii="Calibri" w:hAnsi="Calibri" w:cs="Calibri"/>
              </w:rPr>
              <w:t xml:space="preserve"> </w:t>
            </w:r>
            <w:r w:rsidR="1C17AB4A" w:rsidRPr="5C7268AA">
              <w:rPr>
                <w:rFonts w:ascii="Calibri" w:hAnsi="Calibri" w:cs="Calibri"/>
              </w:rPr>
              <w:t>the work of the University</w:t>
            </w:r>
            <w:r w:rsidR="5A85C6E6" w:rsidRPr="5C7268AA">
              <w:rPr>
                <w:rFonts w:ascii="Calibri" w:hAnsi="Calibri" w:cs="Calibri"/>
              </w:rPr>
              <w:t>.  The team</w:t>
            </w:r>
            <w:r w:rsidR="48794B6F" w:rsidRPr="5C7268AA">
              <w:rPr>
                <w:rFonts w:ascii="Calibri" w:hAnsi="Calibri" w:cs="Calibri"/>
              </w:rPr>
              <w:t xml:space="preserve"> manage all media enquiries on behalf of the University</w:t>
            </w:r>
            <w:r w:rsidR="142DEDF9" w:rsidRPr="5C7268AA">
              <w:rPr>
                <w:rFonts w:ascii="Calibri" w:hAnsi="Calibri" w:cs="Calibri"/>
              </w:rPr>
              <w:t xml:space="preserve"> and issue news releases using a range of media channels</w:t>
            </w:r>
            <w:r w:rsidR="56270C36" w:rsidRPr="5C7268AA">
              <w:rPr>
                <w:rFonts w:ascii="Calibri" w:hAnsi="Calibri" w:cs="Calibri"/>
              </w:rPr>
              <w:t>.</w:t>
            </w:r>
          </w:p>
          <w:p w14:paraId="798DBE78" w14:textId="77777777" w:rsidR="00846D91" w:rsidRPr="00F8168A" w:rsidRDefault="00846D91" w:rsidP="00AB030A">
            <w:pPr>
              <w:jc w:val="both"/>
              <w:rPr>
                <w:rFonts w:ascii="Calibri" w:hAnsi="Calibri" w:cs="Calibri"/>
              </w:rPr>
            </w:pPr>
          </w:p>
          <w:p w14:paraId="7DB70BB4" w14:textId="08DB6222" w:rsidR="009C08C5" w:rsidRPr="00F8168A" w:rsidRDefault="48794B6F" w:rsidP="00AB030A">
            <w:pPr>
              <w:jc w:val="both"/>
              <w:rPr>
                <w:rFonts w:ascii="Calibri" w:hAnsi="Calibri" w:cs="Calibri"/>
              </w:rPr>
            </w:pPr>
            <w:r w:rsidRPr="5C7268AA">
              <w:rPr>
                <w:rFonts w:ascii="Calibri" w:hAnsi="Calibri" w:cs="Calibri"/>
              </w:rPr>
              <w:t xml:space="preserve">In addition to </w:t>
            </w:r>
            <w:r w:rsidR="6DFABB36" w:rsidRPr="5C7268AA">
              <w:rPr>
                <w:rFonts w:ascii="Calibri" w:hAnsi="Calibri" w:cs="Calibri"/>
              </w:rPr>
              <w:t>reports on the external environment</w:t>
            </w:r>
            <w:r w:rsidR="7294299D" w:rsidRPr="5C7268AA">
              <w:rPr>
                <w:rFonts w:ascii="Calibri" w:hAnsi="Calibri" w:cs="Calibri"/>
              </w:rPr>
              <w:t xml:space="preserve"> </w:t>
            </w:r>
            <w:r w:rsidR="6F57C444" w:rsidRPr="5C7268AA">
              <w:rPr>
                <w:rFonts w:ascii="Calibri" w:hAnsi="Calibri" w:cs="Calibri"/>
              </w:rPr>
              <w:t>presented at meeting</w:t>
            </w:r>
            <w:r w:rsidR="34341BBE" w:rsidRPr="5C7268AA">
              <w:rPr>
                <w:rFonts w:ascii="Calibri" w:hAnsi="Calibri" w:cs="Calibri"/>
              </w:rPr>
              <w:t>s of</w:t>
            </w:r>
            <w:r w:rsidR="6F57C444" w:rsidRPr="5C7268AA">
              <w:rPr>
                <w:rFonts w:ascii="Calibri" w:hAnsi="Calibri" w:cs="Calibri"/>
              </w:rPr>
              <w:t xml:space="preserve"> Court </w:t>
            </w:r>
            <w:r w:rsidR="7294299D" w:rsidRPr="5C7268AA">
              <w:rPr>
                <w:rFonts w:ascii="Calibri" w:hAnsi="Calibri" w:cs="Calibri"/>
              </w:rPr>
              <w:t xml:space="preserve">and issues of </w:t>
            </w:r>
            <w:r w:rsidR="68403848" w:rsidRPr="5C7268AA">
              <w:rPr>
                <w:rFonts w:ascii="Calibri" w:hAnsi="Calibri" w:cs="Calibri"/>
              </w:rPr>
              <w:t>Staff Round</w:t>
            </w:r>
            <w:r w:rsidR="4194C27F" w:rsidRPr="5C7268AA">
              <w:rPr>
                <w:rFonts w:ascii="Calibri" w:hAnsi="Calibri" w:cs="Calibri"/>
              </w:rPr>
              <w:t>-up</w:t>
            </w:r>
            <w:r w:rsidR="7294299D" w:rsidRPr="5C7268AA">
              <w:rPr>
                <w:rFonts w:ascii="Calibri" w:hAnsi="Calibri" w:cs="Calibri"/>
              </w:rPr>
              <w:t xml:space="preserve">, </w:t>
            </w:r>
            <w:r w:rsidR="70A816D0" w:rsidRPr="5C7268AA">
              <w:rPr>
                <w:rFonts w:ascii="Calibri" w:hAnsi="Calibri" w:cs="Calibri"/>
              </w:rPr>
              <w:t xml:space="preserve">a summary of </w:t>
            </w:r>
            <w:r w:rsidR="5F014830" w:rsidRPr="5C7268AA">
              <w:rPr>
                <w:rFonts w:ascii="Calibri" w:hAnsi="Calibri" w:cs="Calibri"/>
              </w:rPr>
              <w:t>key themes</w:t>
            </w:r>
            <w:r w:rsidR="328DE124" w:rsidRPr="5C7268AA">
              <w:rPr>
                <w:rFonts w:ascii="Calibri" w:hAnsi="Calibri" w:cs="Calibri"/>
              </w:rPr>
              <w:t>, including national press cuttings</w:t>
            </w:r>
            <w:r w:rsidR="751532F3" w:rsidRPr="5C7268AA">
              <w:rPr>
                <w:rFonts w:ascii="Calibri" w:hAnsi="Calibri" w:cs="Calibri"/>
              </w:rPr>
              <w:t xml:space="preserve"> as appropriate</w:t>
            </w:r>
            <w:r w:rsidR="01364DE6" w:rsidRPr="5C7268AA">
              <w:rPr>
                <w:rFonts w:ascii="Calibri" w:hAnsi="Calibri" w:cs="Calibri"/>
              </w:rPr>
              <w:t>,</w:t>
            </w:r>
            <w:r w:rsidR="328DE124" w:rsidRPr="5C7268AA">
              <w:rPr>
                <w:rFonts w:ascii="Calibri" w:hAnsi="Calibri" w:cs="Calibri"/>
              </w:rPr>
              <w:t xml:space="preserve"> will be </w:t>
            </w:r>
            <w:r w:rsidR="2E63B1E1" w:rsidRPr="5C7268AA">
              <w:rPr>
                <w:rFonts w:ascii="Calibri" w:hAnsi="Calibri" w:cs="Calibri"/>
              </w:rPr>
              <w:t xml:space="preserve">circulated by the </w:t>
            </w:r>
            <w:r w:rsidR="6DFABB36" w:rsidRPr="5C7268AA">
              <w:rPr>
                <w:rFonts w:ascii="Calibri" w:hAnsi="Calibri" w:cs="Calibri"/>
              </w:rPr>
              <w:t>Communication Team</w:t>
            </w:r>
            <w:r w:rsidR="142DEDF9" w:rsidRPr="5C7268AA">
              <w:rPr>
                <w:rFonts w:ascii="Calibri" w:hAnsi="Calibri" w:cs="Calibri"/>
              </w:rPr>
              <w:t xml:space="preserve"> </w:t>
            </w:r>
            <w:r w:rsidR="2E63B1E1" w:rsidRPr="5C7268AA">
              <w:rPr>
                <w:rFonts w:ascii="Calibri" w:hAnsi="Calibri" w:cs="Calibri"/>
              </w:rPr>
              <w:t>to members of Court (once a semester)</w:t>
            </w:r>
            <w:r w:rsidR="1420E52D" w:rsidRPr="5C7268AA">
              <w:rPr>
                <w:rFonts w:ascii="Calibri" w:hAnsi="Calibri" w:cs="Calibri"/>
              </w:rPr>
              <w:t>.</w:t>
            </w:r>
            <w:r w:rsidR="2E63B1E1" w:rsidRPr="5C7268AA">
              <w:rPr>
                <w:rFonts w:ascii="Calibri" w:hAnsi="Calibri" w:cs="Calibri"/>
              </w:rPr>
              <w:t xml:space="preserve"> </w:t>
            </w:r>
            <w:r w:rsidR="1C17AB4A" w:rsidRPr="5C7268AA">
              <w:rPr>
                <w:rFonts w:ascii="Calibri" w:hAnsi="Calibri" w:cs="Calibri"/>
              </w:rPr>
              <w:t xml:space="preserve"> </w:t>
            </w:r>
          </w:p>
        </w:tc>
      </w:tr>
      <w:tr w:rsidR="00193844" w14:paraId="5A71C2A9" w14:textId="77777777" w:rsidTr="62EA0BBE">
        <w:tc>
          <w:tcPr>
            <w:tcW w:w="992" w:type="dxa"/>
          </w:tcPr>
          <w:p w14:paraId="0465A12A" w14:textId="5F48B6EA" w:rsidR="009C08C5" w:rsidRDefault="009C08C5" w:rsidP="002A2F1D">
            <w:pPr>
              <w:ind w:right="521"/>
              <w:jc w:val="both"/>
              <w:rPr>
                <w:rFonts w:ascii="Calibri" w:hAnsi="Calibri" w:cs="Calibri"/>
              </w:rPr>
            </w:pPr>
            <w:r>
              <w:rPr>
                <w:rFonts w:ascii="Calibri" w:hAnsi="Calibri" w:cs="Calibri"/>
              </w:rPr>
              <w:t>vii</w:t>
            </w:r>
          </w:p>
        </w:tc>
        <w:tc>
          <w:tcPr>
            <w:tcW w:w="2977" w:type="dxa"/>
          </w:tcPr>
          <w:p w14:paraId="743F1358" w14:textId="54835968" w:rsidR="009C08C5" w:rsidRPr="009C08C5" w:rsidRDefault="009C08C5" w:rsidP="00632DC3">
            <w:pPr>
              <w:ind w:right="37"/>
              <w:jc w:val="both"/>
              <w:rPr>
                <w:rFonts w:ascii="Calibri" w:hAnsi="Calibri" w:cs="Calibri"/>
              </w:rPr>
            </w:pPr>
            <w:r>
              <w:rPr>
                <w:rFonts w:ascii="Calibri" w:hAnsi="Calibri" w:cs="Calibri"/>
              </w:rPr>
              <w:t>T</w:t>
            </w:r>
            <w:r w:rsidRPr="0023607C">
              <w:rPr>
                <w:rFonts w:ascii="Calibri" w:hAnsi="Calibri" w:cs="Calibri"/>
              </w:rPr>
              <w:t>he meeting evaluation approach is reviewed to ensure the current process adds sufficient value.  </w:t>
            </w:r>
          </w:p>
        </w:tc>
        <w:tc>
          <w:tcPr>
            <w:tcW w:w="4626" w:type="dxa"/>
          </w:tcPr>
          <w:p w14:paraId="4060456C" w14:textId="5D044C8D" w:rsidR="009C08C5" w:rsidRPr="00286D3A" w:rsidRDefault="4121519B" w:rsidP="00AB030A">
            <w:pPr>
              <w:jc w:val="both"/>
              <w:rPr>
                <w:rFonts w:ascii="Calibri" w:hAnsi="Calibri" w:cs="Calibri"/>
              </w:rPr>
            </w:pPr>
            <w:r w:rsidRPr="5C7268AA">
              <w:rPr>
                <w:rFonts w:ascii="Calibri" w:hAnsi="Calibri" w:cs="Calibri"/>
              </w:rPr>
              <w:t>This will be considered on an ongoing basis</w:t>
            </w:r>
            <w:r w:rsidR="57C3E685" w:rsidRPr="5C7268AA">
              <w:rPr>
                <w:rFonts w:ascii="Calibri" w:hAnsi="Calibri" w:cs="Calibri"/>
              </w:rPr>
              <w:t xml:space="preserve"> by Governance and Nominations Committee</w:t>
            </w:r>
            <w:r w:rsidRPr="5C7268AA">
              <w:rPr>
                <w:rFonts w:ascii="Calibri" w:hAnsi="Calibri" w:cs="Calibri"/>
              </w:rPr>
              <w:t xml:space="preserve">.  </w:t>
            </w:r>
          </w:p>
          <w:p w14:paraId="7B3B56AC" w14:textId="77777777" w:rsidR="008A0B9C" w:rsidRPr="00286D3A" w:rsidRDefault="008A0B9C" w:rsidP="00AB030A">
            <w:pPr>
              <w:jc w:val="both"/>
              <w:rPr>
                <w:rFonts w:ascii="Calibri" w:hAnsi="Calibri" w:cs="Calibri"/>
              </w:rPr>
            </w:pPr>
          </w:p>
          <w:p w14:paraId="32D6185F" w14:textId="13DE66E6" w:rsidR="008A0B9C" w:rsidRDefault="008A0B9C" w:rsidP="00AB030A">
            <w:pPr>
              <w:jc w:val="both"/>
              <w:rPr>
                <w:rFonts w:ascii="Calibri" w:hAnsi="Calibri" w:cs="Calibri"/>
                <w:b/>
                <w:bCs/>
              </w:rPr>
            </w:pPr>
            <w:r w:rsidRPr="00286D3A">
              <w:rPr>
                <w:rFonts w:ascii="Calibri" w:hAnsi="Calibri" w:cs="Calibri"/>
              </w:rPr>
              <w:t xml:space="preserve">Court and its Committees will continue to review effectiveness </w:t>
            </w:r>
            <w:r w:rsidR="00856C22" w:rsidRPr="00286D3A">
              <w:rPr>
                <w:rFonts w:ascii="Calibri" w:hAnsi="Calibri" w:cs="Calibri"/>
              </w:rPr>
              <w:t xml:space="preserve">regularly </w:t>
            </w:r>
            <w:r w:rsidR="00286D3A" w:rsidRPr="00286D3A">
              <w:rPr>
                <w:rFonts w:ascii="Calibri" w:hAnsi="Calibri" w:cs="Calibri"/>
              </w:rPr>
              <w:t>and will satisfy itself the approach adds sufficient value.</w:t>
            </w:r>
            <w:r w:rsidR="00286D3A">
              <w:rPr>
                <w:rFonts w:ascii="Calibri" w:hAnsi="Calibri" w:cs="Calibri"/>
                <w:b/>
                <w:bCs/>
              </w:rPr>
              <w:t xml:space="preserve"> </w:t>
            </w:r>
            <w:r>
              <w:rPr>
                <w:rFonts w:ascii="Calibri" w:hAnsi="Calibri" w:cs="Calibri"/>
                <w:b/>
                <w:bCs/>
              </w:rPr>
              <w:t xml:space="preserve">    </w:t>
            </w:r>
          </w:p>
        </w:tc>
      </w:tr>
    </w:tbl>
    <w:p w14:paraId="6ECC552A" w14:textId="77777777" w:rsidR="00F8168A" w:rsidRDefault="00F8168A" w:rsidP="00632DC3">
      <w:pPr>
        <w:spacing w:after="0"/>
        <w:rPr>
          <w:rFonts w:ascii="Calibri" w:hAnsi="Calibri" w:cs="Calibri"/>
          <w:b/>
          <w:bCs/>
        </w:rPr>
      </w:pPr>
    </w:p>
    <w:p w14:paraId="141F47D8" w14:textId="6D0B8A7A" w:rsidR="00090E8D" w:rsidRPr="00EB77C8" w:rsidRDefault="00090E8D" w:rsidP="00632DC3">
      <w:pPr>
        <w:spacing w:after="0"/>
        <w:rPr>
          <w:rFonts w:ascii="Calibri" w:hAnsi="Calibri" w:cs="Calibri"/>
          <w:b/>
          <w:bCs/>
        </w:rPr>
      </w:pPr>
      <w:r w:rsidRPr="00EB77C8">
        <w:rPr>
          <w:rFonts w:ascii="Calibri" w:hAnsi="Calibri" w:cs="Calibri"/>
          <w:b/>
          <w:bCs/>
        </w:rPr>
        <w:t xml:space="preserve">Data Classification </w:t>
      </w:r>
    </w:p>
    <w:p w14:paraId="34911682" w14:textId="79F8524D" w:rsidR="00090E8D" w:rsidRPr="00090E8D" w:rsidRDefault="00595D7D" w:rsidP="00FE4CCC">
      <w:pPr>
        <w:ind w:left="284" w:hanging="284"/>
        <w:rPr>
          <w:b/>
          <w:bCs/>
        </w:rPr>
      </w:pPr>
      <w:r>
        <w:rPr>
          <w:rFonts w:ascii="Calibri" w:hAnsi="Calibri" w:cs="Calibri"/>
        </w:rPr>
        <w:t>8</w:t>
      </w:r>
      <w:r w:rsidR="00090E8D" w:rsidRPr="00EB77C8">
        <w:rPr>
          <w:rFonts w:ascii="Calibri" w:hAnsi="Calibri" w:cs="Calibri"/>
        </w:rPr>
        <w:t xml:space="preserve">. </w:t>
      </w:r>
      <w:r w:rsidR="00FE4CCC">
        <w:rPr>
          <w:rFonts w:ascii="Calibri" w:hAnsi="Calibri" w:cs="Calibri"/>
        </w:rPr>
        <w:t xml:space="preserve"> </w:t>
      </w:r>
      <w:r w:rsidR="00090E8D" w:rsidRPr="00EB77C8">
        <w:rPr>
          <w:rFonts w:ascii="Calibri" w:hAnsi="Calibri" w:cs="Calibri"/>
        </w:rPr>
        <w:t xml:space="preserve">This document is classified as </w:t>
      </w:r>
      <w:r w:rsidR="007B378F">
        <w:rPr>
          <w:rFonts w:ascii="Calibri" w:hAnsi="Calibri" w:cs="Calibri"/>
          <w:i/>
          <w:iCs/>
        </w:rPr>
        <w:t>public</w:t>
      </w:r>
      <w:r w:rsidR="743A223A" w:rsidRPr="78E973F1">
        <w:rPr>
          <w:rFonts w:ascii="Calibri" w:hAnsi="Calibri" w:cs="Calibri"/>
        </w:rPr>
        <w:t xml:space="preserve">.  </w:t>
      </w:r>
      <w:r w:rsidR="00090E8D" w:rsidRPr="78E973F1">
        <w:rPr>
          <w:rFonts w:ascii="Calibri" w:hAnsi="Calibri" w:cs="Calibri"/>
        </w:rPr>
        <w:t xml:space="preserve"> </w:t>
      </w:r>
    </w:p>
    <w:sectPr w:rsidR="00090E8D" w:rsidRPr="00090E8D" w:rsidSect="001D6D7B">
      <w:headerReference w:type="default" r:id="rId11"/>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E9B21" w14:textId="77777777" w:rsidR="00D26959" w:rsidRDefault="00D26959" w:rsidP="00632DC3">
      <w:pPr>
        <w:spacing w:after="0" w:line="240" w:lineRule="auto"/>
      </w:pPr>
      <w:r>
        <w:separator/>
      </w:r>
    </w:p>
  </w:endnote>
  <w:endnote w:type="continuationSeparator" w:id="0">
    <w:p w14:paraId="576AEED2" w14:textId="77777777" w:rsidR="00D26959" w:rsidRDefault="00D26959" w:rsidP="00632DC3">
      <w:pPr>
        <w:spacing w:after="0" w:line="240" w:lineRule="auto"/>
      </w:pPr>
      <w:r>
        <w:continuationSeparator/>
      </w:r>
    </w:p>
  </w:endnote>
  <w:endnote w:type="continuationNotice" w:id="1">
    <w:p w14:paraId="37E80A4B" w14:textId="77777777" w:rsidR="00D26959" w:rsidRDefault="00D26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15430"/>
      <w:docPartObj>
        <w:docPartGallery w:val="Page Numbers (Bottom of Page)"/>
        <w:docPartUnique/>
      </w:docPartObj>
    </w:sdtPr>
    <w:sdtEndPr>
      <w:rPr>
        <w:rFonts w:ascii="Calibri" w:hAnsi="Calibri" w:cs="Calibri"/>
        <w:noProof/>
        <w:sz w:val="20"/>
        <w:szCs w:val="20"/>
      </w:rPr>
    </w:sdtEndPr>
    <w:sdtContent>
      <w:p w14:paraId="4F818A25" w14:textId="47682797" w:rsidR="00632DC3" w:rsidRPr="00632DC3" w:rsidRDefault="00632DC3">
        <w:pPr>
          <w:pStyle w:val="Footer"/>
          <w:jc w:val="right"/>
          <w:rPr>
            <w:rFonts w:ascii="Calibri" w:hAnsi="Calibri" w:cs="Calibri"/>
            <w:sz w:val="20"/>
            <w:szCs w:val="20"/>
          </w:rPr>
        </w:pPr>
        <w:r w:rsidRPr="00632DC3">
          <w:rPr>
            <w:rFonts w:ascii="Calibri" w:hAnsi="Calibri" w:cs="Calibri"/>
            <w:sz w:val="20"/>
            <w:szCs w:val="20"/>
          </w:rPr>
          <w:fldChar w:fldCharType="begin"/>
        </w:r>
        <w:r w:rsidRPr="00632DC3">
          <w:rPr>
            <w:rFonts w:ascii="Calibri" w:hAnsi="Calibri" w:cs="Calibri"/>
            <w:sz w:val="20"/>
            <w:szCs w:val="20"/>
          </w:rPr>
          <w:instrText xml:space="preserve"> PAGE   \* MERGEFORMAT </w:instrText>
        </w:r>
        <w:r w:rsidRPr="00632DC3">
          <w:rPr>
            <w:rFonts w:ascii="Calibri" w:hAnsi="Calibri" w:cs="Calibri"/>
            <w:sz w:val="20"/>
            <w:szCs w:val="20"/>
          </w:rPr>
          <w:fldChar w:fldCharType="separate"/>
        </w:r>
        <w:r w:rsidRPr="00632DC3">
          <w:rPr>
            <w:rFonts w:ascii="Calibri" w:hAnsi="Calibri" w:cs="Calibri"/>
            <w:noProof/>
            <w:sz w:val="20"/>
            <w:szCs w:val="20"/>
          </w:rPr>
          <w:t>2</w:t>
        </w:r>
        <w:r w:rsidRPr="00632DC3">
          <w:rPr>
            <w:rFonts w:ascii="Calibri" w:hAnsi="Calibri" w:cs="Calibri"/>
            <w:noProof/>
            <w:sz w:val="20"/>
            <w:szCs w:val="20"/>
          </w:rPr>
          <w:fldChar w:fldCharType="end"/>
        </w:r>
      </w:p>
    </w:sdtContent>
  </w:sdt>
  <w:p w14:paraId="6144C819" w14:textId="77777777" w:rsidR="00632DC3" w:rsidRDefault="00632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C5398" w14:textId="77777777" w:rsidR="00D26959" w:rsidRDefault="00D26959" w:rsidP="00632DC3">
      <w:pPr>
        <w:spacing w:after="0" w:line="240" w:lineRule="auto"/>
      </w:pPr>
      <w:r>
        <w:separator/>
      </w:r>
    </w:p>
  </w:footnote>
  <w:footnote w:type="continuationSeparator" w:id="0">
    <w:p w14:paraId="2F1C4F5E" w14:textId="77777777" w:rsidR="00D26959" w:rsidRDefault="00D26959" w:rsidP="00632DC3">
      <w:pPr>
        <w:spacing w:after="0" w:line="240" w:lineRule="auto"/>
      </w:pPr>
      <w:r>
        <w:continuationSeparator/>
      </w:r>
    </w:p>
  </w:footnote>
  <w:footnote w:type="continuationNotice" w:id="1">
    <w:p w14:paraId="44F4B8C2" w14:textId="77777777" w:rsidR="00D26959" w:rsidRDefault="00D269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2D7D845" w14:paraId="4E1E0134" w14:textId="77777777" w:rsidTr="42D7D845">
      <w:trPr>
        <w:trHeight w:val="300"/>
      </w:trPr>
      <w:tc>
        <w:tcPr>
          <w:tcW w:w="3005" w:type="dxa"/>
        </w:tcPr>
        <w:p w14:paraId="014395DF" w14:textId="082EEA19" w:rsidR="42D7D845" w:rsidRPr="0047563B" w:rsidRDefault="42D7D845" w:rsidP="42D7D845">
          <w:pPr>
            <w:pStyle w:val="Header"/>
            <w:ind w:left="-115"/>
            <w:rPr>
              <w:rFonts w:ascii="Calibri" w:hAnsi="Calibri" w:cs="Calibri"/>
            </w:rPr>
          </w:pPr>
        </w:p>
      </w:tc>
      <w:tc>
        <w:tcPr>
          <w:tcW w:w="3005" w:type="dxa"/>
        </w:tcPr>
        <w:p w14:paraId="46ACACCE" w14:textId="59B3878A" w:rsidR="42D7D845" w:rsidRDefault="42D7D845" w:rsidP="42D7D845">
          <w:pPr>
            <w:pStyle w:val="Header"/>
            <w:jc w:val="center"/>
          </w:pPr>
        </w:p>
      </w:tc>
      <w:tc>
        <w:tcPr>
          <w:tcW w:w="3005" w:type="dxa"/>
        </w:tcPr>
        <w:p w14:paraId="28A30CE5" w14:textId="0AD78798" w:rsidR="42D7D845" w:rsidRPr="0047563B" w:rsidRDefault="42D7D845" w:rsidP="42D7D845">
          <w:pPr>
            <w:pStyle w:val="Header"/>
            <w:ind w:right="-115"/>
            <w:jc w:val="right"/>
            <w:rPr>
              <w:rFonts w:ascii="Calibri" w:hAnsi="Calibri" w:cs="Calibri"/>
            </w:rPr>
          </w:pPr>
        </w:p>
      </w:tc>
    </w:tr>
  </w:tbl>
  <w:p w14:paraId="24186C11" w14:textId="05C67E40" w:rsidR="42D7D845" w:rsidRDefault="42D7D845" w:rsidP="42D7D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BEC"/>
    <w:multiLevelType w:val="multilevel"/>
    <w:tmpl w:val="344259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63D00"/>
    <w:multiLevelType w:val="multilevel"/>
    <w:tmpl w:val="EBFA7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A8A6F9B"/>
    <w:multiLevelType w:val="multilevel"/>
    <w:tmpl w:val="DEEC83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A94555"/>
    <w:multiLevelType w:val="multilevel"/>
    <w:tmpl w:val="20E42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E5430"/>
    <w:multiLevelType w:val="multilevel"/>
    <w:tmpl w:val="348EB94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704395F"/>
    <w:multiLevelType w:val="multilevel"/>
    <w:tmpl w:val="F176F0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84B1E03"/>
    <w:multiLevelType w:val="multilevel"/>
    <w:tmpl w:val="36B8B2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8DF50E5"/>
    <w:multiLevelType w:val="multilevel"/>
    <w:tmpl w:val="3F96C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67112"/>
    <w:multiLevelType w:val="multilevel"/>
    <w:tmpl w:val="348EB94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C8E0A2C"/>
    <w:multiLevelType w:val="multilevel"/>
    <w:tmpl w:val="DEEC83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CCF3276"/>
    <w:multiLevelType w:val="multilevel"/>
    <w:tmpl w:val="1EBEB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0333E"/>
    <w:multiLevelType w:val="multilevel"/>
    <w:tmpl w:val="36B8B2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4881081"/>
    <w:multiLevelType w:val="multilevel"/>
    <w:tmpl w:val="B49A0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D0123"/>
    <w:multiLevelType w:val="multilevel"/>
    <w:tmpl w:val="8E302D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6E4678"/>
    <w:multiLevelType w:val="multilevel"/>
    <w:tmpl w:val="4E0A35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965C1F"/>
    <w:multiLevelType w:val="multilevel"/>
    <w:tmpl w:val="A9B61C0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37F196F"/>
    <w:multiLevelType w:val="multilevel"/>
    <w:tmpl w:val="F176F0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4EE2FD5"/>
    <w:multiLevelType w:val="multilevel"/>
    <w:tmpl w:val="5F024D1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FB93E49"/>
    <w:multiLevelType w:val="multilevel"/>
    <w:tmpl w:val="662E7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7022D2"/>
    <w:multiLevelType w:val="multilevel"/>
    <w:tmpl w:val="5F024D1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CE916BC"/>
    <w:multiLevelType w:val="multilevel"/>
    <w:tmpl w:val="B88C6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783069"/>
    <w:multiLevelType w:val="multilevel"/>
    <w:tmpl w:val="DEEC83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85B471F"/>
    <w:multiLevelType w:val="multilevel"/>
    <w:tmpl w:val="4852CE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C55885"/>
    <w:multiLevelType w:val="multilevel"/>
    <w:tmpl w:val="EBFA7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6E3F255F"/>
    <w:multiLevelType w:val="multilevel"/>
    <w:tmpl w:val="D5723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A66B4"/>
    <w:multiLevelType w:val="multilevel"/>
    <w:tmpl w:val="A9B61C0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697536926">
    <w:abstractNumId w:val="18"/>
  </w:num>
  <w:num w:numId="2" w16cid:durableId="693044411">
    <w:abstractNumId w:val="3"/>
  </w:num>
  <w:num w:numId="3" w16cid:durableId="1646010486">
    <w:abstractNumId w:val="12"/>
  </w:num>
  <w:num w:numId="4" w16cid:durableId="506016048">
    <w:abstractNumId w:val="7"/>
  </w:num>
  <w:num w:numId="5" w16cid:durableId="622928093">
    <w:abstractNumId w:val="10"/>
  </w:num>
  <w:num w:numId="6" w16cid:durableId="1844277224">
    <w:abstractNumId w:val="24"/>
  </w:num>
  <w:num w:numId="7" w16cid:durableId="993727772">
    <w:abstractNumId w:val="20"/>
  </w:num>
  <w:num w:numId="8" w16cid:durableId="1507356447">
    <w:abstractNumId w:val="14"/>
  </w:num>
  <w:num w:numId="9" w16cid:durableId="870344190">
    <w:abstractNumId w:val="13"/>
  </w:num>
  <w:num w:numId="10" w16cid:durableId="1789471929">
    <w:abstractNumId w:val="0"/>
  </w:num>
  <w:num w:numId="11" w16cid:durableId="91051455">
    <w:abstractNumId w:val="22"/>
  </w:num>
  <w:num w:numId="12" w16cid:durableId="921569554">
    <w:abstractNumId w:val="16"/>
  </w:num>
  <w:num w:numId="13" w16cid:durableId="205796139">
    <w:abstractNumId w:val="11"/>
  </w:num>
  <w:num w:numId="14" w16cid:durableId="2121952665">
    <w:abstractNumId w:val="9"/>
  </w:num>
  <w:num w:numId="15" w16cid:durableId="1055347223">
    <w:abstractNumId w:val="17"/>
  </w:num>
  <w:num w:numId="16" w16cid:durableId="881484357">
    <w:abstractNumId w:val="1"/>
  </w:num>
  <w:num w:numId="17" w16cid:durableId="508183813">
    <w:abstractNumId w:val="15"/>
  </w:num>
  <w:num w:numId="18" w16cid:durableId="617300715">
    <w:abstractNumId w:val="8"/>
  </w:num>
  <w:num w:numId="19" w16cid:durableId="514808435">
    <w:abstractNumId w:val="5"/>
  </w:num>
  <w:num w:numId="20" w16cid:durableId="513614893">
    <w:abstractNumId w:val="6"/>
  </w:num>
  <w:num w:numId="21" w16cid:durableId="1499155196">
    <w:abstractNumId w:val="2"/>
  </w:num>
  <w:num w:numId="22" w16cid:durableId="352153669">
    <w:abstractNumId w:val="19"/>
  </w:num>
  <w:num w:numId="23" w16cid:durableId="1599756926">
    <w:abstractNumId w:val="25"/>
  </w:num>
  <w:num w:numId="24" w16cid:durableId="1601255520">
    <w:abstractNumId w:val="21"/>
  </w:num>
  <w:num w:numId="25" w16cid:durableId="842821415">
    <w:abstractNumId w:val="23"/>
  </w:num>
  <w:num w:numId="26" w16cid:durableId="183641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8D"/>
    <w:rsid w:val="00007817"/>
    <w:rsid w:val="00043626"/>
    <w:rsid w:val="000479C0"/>
    <w:rsid w:val="00064E5D"/>
    <w:rsid w:val="00072316"/>
    <w:rsid w:val="0008487D"/>
    <w:rsid w:val="00090E8D"/>
    <w:rsid w:val="00096CFB"/>
    <w:rsid w:val="000B6D17"/>
    <w:rsid w:val="000C458E"/>
    <w:rsid w:val="000D14E9"/>
    <w:rsid w:val="000E21AF"/>
    <w:rsid w:val="000F526F"/>
    <w:rsid w:val="00104899"/>
    <w:rsid w:val="00106987"/>
    <w:rsid w:val="00124145"/>
    <w:rsid w:val="00132605"/>
    <w:rsid w:val="00163CB1"/>
    <w:rsid w:val="00163F66"/>
    <w:rsid w:val="00175C99"/>
    <w:rsid w:val="00177C91"/>
    <w:rsid w:val="001912E7"/>
    <w:rsid w:val="00193844"/>
    <w:rsid w:val="001976D5"/>
    <w:rsid w:val="001C2CAB"/>
    <w:rsid w:val="001C49A3"/>
    <w:rsid w:val="001D4878"/>
    <w:rsid w:val="001D6D7B"/>
    <w:rsid w:val="001E34AB"/>
    <w:rsid w:val="001E4EF7"/>
    <w:rsid w:val="001E7C82"/>
    <w:rsid w:val="001F0BD5"/>
    <w:rsid w:val="00205EE6"/>
    <w:rsid w:val="00216C5A"/>
    <w:rsid w:val="00220C89"/>
    <w:rsid w:val="00235C38"/>
    <w:rsid w:val="0023607C"/>
    <w:rsid w:val="002429FF"/>
    <w:rsid w:val="00247DC3"/>
    <w:rsid w:val="002518CA"/>
    <w:rsid w:val="002549E8"/>
    <w:rsid w:val="00261C6F"/>
    <w:rsid w:val="00282048"/>
    <w:rsid w:val="00285FE7"/>
    <w:rsid w:val="0028681A"/>
    <w:rsid w:val="00286D3A"/>
    <w:rsid w:val="002A2F1D"/>
    <w:rsid w:val="002A4A32"/>
    <w:rsid w:val="002B39EE"/>
    <w:rsid w:val="002C6206"/>
    <w:rsid w:val="002E271B"/>
    <w:rsid w:val="002F1D26"/>
    <w:rsid w:val="002F22E8"/>
    <w:rsid w:val="002F5C58"/>
    <w:rsid w:val="002F6BF8"/>
    <w:rsid w:val="0030438F"/>
    <w:rsid w:val="00321847"/>
    <w:rsid w:val="0032312D"/>
    <w:rsid w:val="00327181"/>
    <w:rsid w:val="00327C46"/>
    <w:rsid w:val="00332436"/>
    <w:rsid w:val="003413B2"/>
    <w:rsid w:val="003425EE"/>
    <w:rsid w:val="003442CC"/>
    <w:rsid w:val="003549B6"/>
    <w:rsid w:val="00360AEA"/>
    <w:rsid w:val="0036388A"/>
    <w:rsid w:val="00375860"/>
    <w:rsid w:val="003902FC"/>
    <w:rsid w:val="003946BD"/>
    <w:rsid w:val="003A468C"/>
    <w:rsid w:val="003A4858"/>
    <w:rsid w:val="003A7A22"/>
    <w:rsid w:val="003B3136"/>
    <w:rsid w:val="003C7FCC"/>
    <w:rsid w:val="003E3543"/>
    <w:rsid w:val="003E792A"/>
    <w:rsid w:val="003F7088"/>
    <w:rsid w:val="00403604"/>
    <w:rsid w:val="00404F17"/>
    <w:rsid w:val="004176B7"/>
    <w:rsid w:val="004233EE"/>
    <w:rsid w:val="00423D40"/>
    <w:rsid w:val="00463DB7"/>
    <w:rsid w:val="00466CCF"/>
    <w:rsid w:val="00467062"/>
    <w:rsid w:val="00472A14"/>
    <w:rsid w:val="0047563B"/>
    <w:rsid w:val="00486ECA"/>
    <w:rsid w:val="004B6169"/>
    <w:rsid w:val="004B6C74"/>
    <w:rsid w:val="004C095F"/>
    <w:rsid w:val="004D2613"/>
    <w:rsid w:val="004D6DC6"/>
    <w:rsid w:val="004E7F13"/>
    <w:rsid w:val="004F1D0F"/>
    <w:rsid w:val="00512A22"/>
    <w:rsid w:val="00545C19"/>
    <w:rsid w:val="00547C90"/>
    <w:rsid w:val="00554E59"/>
    <w:rsid w:val="005608E3"/>
    <w:rsid w:val="00563F13"/>
    <w:rsid w:val="00575211"/>
    <w:rsid w:val="005778B4"/>
    <w:rsid w:val="00595D7D"/>
    <w:rsid w:val="0059601A"/>
    <w:rsid w:val="005965CD"/>
    <w:rsid w:val="005B29C6"/>
    <w:rsid w:val="005B7955"/>
    <w:rsid w:val="005C149C"/>
    <w:rsid w:val="005C76F6"/>
    <w:rsid w:val="005F758C"/>
    <w:rsid w:val="00614682"/>
    <w:rsid w:val="00623840"/>
    <w:rsid w:val="0062542E"/>
    <w:rsid w:val="006309D3"/>
    <w:rsid w:val="00632DC3"/>
    <w:rsid w:val="0064791A"/>
    <w:rsid w:val="00652A2C"/>
    <w:rsid w:val="00657332"/>
    <w:rsid w:val="00671F02"/>
    <w:rsid w:val="0068191D"/>
    <w:rsid w:val="006827BF"/>
    <w:rsid w:val="0069267C"/>
    <w:rsid w:val="006B0A66"/>
    <w:rsid w:val="006B21C1"/>
    <w:rsid w:val="006C1F94"/>
    <w:rsid w:val="006D0546"/>
    <w:rsid w:val="006D2E4C"/>
    <w:rsid w:val="006D2F11"/>
    <w:rsid w:val="006F6E34"/>
    <w:rsid w:val="0071185B"/>
    <w:rsid w:val="00725F56"/>
    <w:rsid w:val="00734C92"/>
    <w:rsid w:val="007363E0"/>
    <w:rsid w:val="00746658"/>
    <w:rsid w:val="00754FFC"/>
    <w:rsid w:val="00755A0E"/>
    <w:rsid w:val="00771B9F"/>
    <w:rsid w:val="00773CB2"/>
    <w:rsid w:val="00793E07"/>
    <w:rsid w:val="007A7306"/>
    <w:rsid w:val="007B2F67"/>
    <w:rsid w:val="007B378F"/>
    <w:rsid w:val="007B556E"/>
    <w:rsid w:val="007B757C"/>
    <w:rsid w:val="007D1D68"/>
    <w:rsid w:val="007E28CF"/>
    <w:rsid w:val="007E2D5C"/>
    <w:rsid w:val="0080006A"/>
    <w:rsid w:val="00803EE5"/>
    <w:rsid w:val="008049F3"/>
    <w:rsid w:val="0080729D"/>
    <w:rsid w:val="0081466F"/>
    <w:rsid w:val="00827663"/>
    <w:rsid w:val="00833C88"/>
    <w:rsid w:val="00837003"/>
    <w:rsid w:val="008422AA"/>
    <w:rsid w:val="00846464"/>
    <w:rsid w:val="00846D91"/>
    <w:rsid w:val="008551B5"/>
    <w:rsid w:val="00856C22"/>
    <w:rsid w:val="00857905"/>
    <w:rsid w:val="0086169F"/>
    <w:rsid w:val="0088327F"/>
    <w:rsid w:val="00884F3C"/>
    <w:rsid w:val="00896245"/>
    <w:rsid w:val="008975CD"/>
    <w:rsid w:val="008A0B9C"/>
    <w:rsid w:val="008A2E5C"/>
    <w:rsid w:val="008B134A"/>
    <w:rsid w:val="008B282A"/>
    <w:rsid w:val="008C48C3"/>
    <w:rsid w:val="008D7B63"/>
    <w:rsid w:val="008F5D84"/>
    <w:rsid w:val="00905130"/>
    <w:rsid w:val="00911D02"/>
    <w:rsid w:val="00944A21"/>
    <w:rsid w:val="009476B3"/>
    <w:rsid w:val="009545F3"/>
    <w:rsid w:val="0096648E"/>
    <w:rsid w:val="009703DC"/>
    <w:rsid w:val="00975D1B"/>
    <w:rsid w:val="00976EE9"/>
    <w:rsid w:val="00990E55"/>
    <w:rsid w:val="009B446A"/>
    <w:rsid w:val="009C01DE"/>
    <w:rsid w:val="009C08C5"/>
    <w:rsid w:val="009C1454"/>
    <w:rsid w:val="009C3BD2"/>
    <w:rsid w:val="009C5223"/>
    <w:rsid w:val="009D3824"/>
    <w:rsid w:val="009D5F1F"/>
    <w:rsid w:val="009E4028"/>
    <w:rsid w:val="009E57BC"/>
    <w:rsid w:val="009E75D6"/>
    <w:rsid w:val="00A000B0"/>
    <w:rsid w:val="00A26E94"/>
    <w:rsid w:val="00A32F67"/>
    <w:rsid w:val="00A41224"/>
    <w:rsid w:val="00A6048D"/>
    <w:rsid w:val="00A62EDD"/>
    <w:rsid w:val="00A85852"/>
    <w:rsid w:val="00A869F5"/>
    <w:rsid w:val="00A92750"/>
    <w:rsid w:val="00A93EE4"/>
    <w:rsid w:val="00A94DB7"/>
    <w:rsid w:val="00AA6B2C"/>
    <w:rsid w:val="00AB030A"/>
    <w:rsid w:val="00AC3218"/>
    <w:rsid w:val="00AC573A"/>
    <w:rsid w:val="00AC672C"/>
    <w:rsid w:val="00AD3937"/>
    <w:rsid w:val="00AE009F"/>
    <w:rsid w:val="00AE3C87"/>
    <w:rsid w:val="00AE7AB0"/>
    <w:rsid w:val="00B0427B"/>
    <w:rsid w:val="00B13B20"/>
    <w:rsid w:val="00B54FF7"/>
    <w:rsid w:val="00B62550"/>
    <w:rsid w:val="00B76544"/>
    <w:rsid w:val="00B80B17"/>
    <w:rsid w:val="00BA05FB"/>
    <w:rsid w:val="00BB1DA0"/>
    <w:rsid w:val="00BE6D53"/>
    <w:rsid w:val="00BF71A2"/>
    <w:rsid w:val="00C0127B"/>
    <w:rsid w:val="00C101DD"/>
    <w:rsid w:val="00C46D9C"/>
    <w:rsid w:val="00C50E56"/>
    <w:rsid w:val="00C81355"/>
    <w:rsid w:val="00C82089"/>
    <w:rsid w:val="00C86914"/>
    <w:rsid w:val="00CA0FB6"/>
    <w:rsid w:val="00CB16F4"/>
    <w:rsid w:val="00CB600D"/>
    <w:rsid w:val="00CE01FC"/>
    <w:rsid w:val="00CE7DB5"/>
    <w:rsid w:val="00CF5280"/>
    <w:rsid w:val="00CF61A9"/>
    <w:rsid w:val="00D1257F"/>
    <w:rsid w:val="00D26959"/>
    <w:rsid w:val="00D37BF0"/>
    <w:rsid w:val="00D55CDA"/>
    <w:rsid w:val="00D82C6B"/>
    <w:rsid w:val="00DB1338"/>
    <w:rsid w:val="00DB7B01"/>
    <w:rsid w:val="00DC7080"/>
    <w:rsid w:val="00E00D5A"/>
    <w:rsid w:val="00E01940"/>
    <w:rsid w:val="00E101B4"/>
    <w:rsid w:val="00E13328"/>
    <w:rsid w:val="00E13C64"/>
    <w:rsid w:val="00E30449"/>
    <w:rsid w:val="00E42033"/>
    <w:rsid w:val="00E53DD5"/>
    <w:rsid w:val="00E62039"/>
    <w:rsid w:val="00E70F4A"/>
    <w:rsid w:val="00E715F7"/>
    <w:rsid w:val="00E84536"/>
    <w:rsid w:val="00E90E7B"/>
    <w:rsid w:val="00E95321"/>
    <w:rsid w:val="00EB51A8"/>
    <w:rsid w:val="00EB6433"/>
    <w:rsid w:val="00EB77C8"/>
    <w:rsid w:val="00ED1AF3"/>
    <w:rsid w:val="00EEC95B"/>
    <w:rsid w:val="00EF3CCB"/>
    <w:rsid w:val="00F06E72"/>
    <w:rsid w:val="00F3324F"/>
    <w:rsid w:val="00F530D8"/>
    <w:rsid w:val="00F57A66"/>
    <w:rsid w:val="00F63E99"/>
    <w:rsid w:val="00F8168A"/>
    <w:rsid w:val="00F856F3"/>
    <w:rsid w:val="00F9013C"/>
    <w:rsid w:val="00F94A5A"/>
    <w:rsid w:val="00FA0B00"/>
    <w:rsid w:val="00FA15F0"/>
    <w:rsid w:val="00FA6B2F"/>
    <w:rsid w:val="00FD0218"/>
    <w:rsid w:val="00FD0BFC"/>
    <w:rsid w:val="00FD27FB"/>
    <w:rsid w:val="00FD53BF"/>
    <w:rsid w:val="00FE4CCC"/>
    <w:rsid w:val="00FE534E"/>
    <w:rsid w:val="00FF1BDC"/>
    <w:rsid w:val="01364DE6"/>
    <w:rsid w:val="023EF80B"/>
    <w:rsid w:val="043ADCE3"/>
    <w:rsid w:val="0606B9E9"/>
    <w:rsid w:val="08DE8967"/>
    <w:rsid w:val="097F86E4"/>
    <w:rsid w:val="0C8774B3"/>
    <w:rsid w:val="113F79A5"/>
    <w:rsid w:val="1420E52D"/>
    <w:rsid w:val="142DEDF9"/>
    <w:rsid w:val="15C6EC55"/>
    <w:rsid w:val="169E3471"/>
    <w:rsid w:val="172C278C"/>
    <w:rsid w:val="1C17AB4A"/>
    <w:rsid w:val="1D71C54E"/>
    <w:rsid w:val="1E1869C6"/>
    <w:rsid w:val="1F220FA1"/>
    <w:rsid w:val="2084DFE1"/>
    <w:rsid w:val="20FA1DE1"/>
    <w:rsid w:val="23965F40"/>
    <w:rsid w:val="26954643"/>
    <w:rsid w:val="2AEA99F3"/>
    <w:rsid w:val="2E63B1E1"/>
    <w:rsid w:val="2F38FE58"/>
    <w:rsid w:val="3146FBFD"/>
    <w:rsid w:val="328DE124"/>
    <w:rsid w:val="34341BBE"/>
    <w:rsid w:val="35F81F34"/>
    <w:rsid w:val="369E0437"/>
    <w:rsid w:val="3A9CBB25"/>
    <w:rsid w:val="3B8AD619"/>
    <w:rsid w:val="3BE70FF3"/>
    <w:rsid w:val="3BFD794D"/>
    <w:rsid w:val="3EB4D3E7"/>
    <w:rsid w:val="4121519B"/>
    <w:rsid w:val="4194C27F"/>
    <w:rsid w:val="4206B9A6"/>
    <w:rsid w:val="4207CE9A"/>
    <w:rsid w:val="42D7D845"/>
    <w:rsid w:val="4491EFC9"/>
    <w:rsid w:val="4592E3AE"/>
    <w:rsid w:val="47DE594D"/>
    <w:rsid w:val="48794B6F"/>
    <w:rsid w:val="49A648DF"/>
    <w:rsid w:val="4C27FFE6"/>
    <w:rsid w:val="506BC1A0"/>
    <w:rsid w:val="52D8B216"/>
    <w:rsid w:val="54556FD8"/>
    <w:rsid w:val="56270C36"/>
    <w:rsid w:val="57C3E685"/>
    <w:rsid w:val="587423ED"/>
    <w:rsid w:val="5A85C6E6"/>
    <w:rsid w:val="5AEFE36F"/>
    <w:rsid w:val="5C7268AA"/>
    <w:rsid w:val="5F014830"/>
    <w:rsid w:val="6044D0D3"/>
    <w:rsid w:val="6261B3A6"/>
    <w:rsid w:val="62EA0BBE"/>
    <w:rsid w:val="6572EC9B"/>
    <w:rsid w:val="6618E2E6"/>
    <w:rsid w:val="66289EDF"/>
    <w:rsid w:val="68403848"/>
    <w:rsid w:val="68F21C43"/>
    <w:rsid w:val="69AC29D9"/>
    <w:rsid w:val="6A64A8D3"/>
    <w:rsid w:val="6DFABB36"/>
    <w:rsid w:val="6F57C444"/>
    <w:rsid w:val="70A816D0"/>
    <w:rsid w:val="70A8FB0D"/>
    <w:rsid w:val="7294299D"/>
    <w:rsid w:val="743A223A"/>
    <w:rsid w:val="751532F3"/>
    <w:rsid w:val="75C6068F"/>
    <w:rsid w:val="75EE2ADE"/>
    <w:rsid w:val="7618F677"/>
    <w:rsid w:val="77E8570D"/>
    <w:rsid w:val="78C4237C"/>
    <w:rsid w:val="78E973F1"/>
    <w:rsid w:val="7C14D7EB"/>
    <w:rsid w:val="7CE77F8D"/>
    <w:rsid w:val="7D027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EBD0"/>
  <w15:chartTrackingRefBased/>
  <w15:docId w15:val="{07AD0573-AD39-4284-8A91-2F793083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E8D"/>
    <w:rPr>
      <w:rFonts w:eastAsiaTheme="majorEastAsia" w:cstheme="majorBidi"/>
      <w:color w:val="272727" w:themeColor="text1" w:themeTint="D8"/>
    </w:rPr>
  </w:style>
  <w:style w:type="paragraph" w:styleId="Title">
    <w:name w:val="Title"/>
    <w:basedOn w:val="Normal"/>
    <w:next w:val="Normal"/>
    <w:link w:val="TitleChar"/>
    <w:uiPriority w:val="10"/>
    <w:qFormat/>
    <w:rsid w:val="00090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E8D"/>
    <w:pPr>
      <w:spacing w:before="160"/>
      <w:jc w:val="center"/>
    </w:pPr>
    <w:rPr>
      <w:i/>
      <w:iCs/>
      <w:color w:val="404040" w:themeColor="text1" w:themeTint="BF"/>
    </w:rPr>
  </w:style>
  <w:style w:type="character" w:customStyle="1" w:styleId="QuoteChar">
    <w:name w:val="Quote Char"/>
    <w:basedOn w:val="DefaultParagraphFont"/>
    <w:link w:val="Quote"/>
    <w:uiPriority w:val="29"/>
    <w:rsid w:val="00090E8D"/>
    <w:rPr>
      <w:i/>
      <w:iCs/>
      <w:color w:val="404040" w:themeColor="text1" w:themeTint="BF"/>
    </w:rPr>
  </w:style>
  <w:style w:type="paragraph" w:styleId="ListParagraph">
    <w:name w:val="List Paragraph"/>
    <w:basedOn w:val="Normal"/>
    <w:uiPriority w:val="34"/>
    <w:qFormat/>
    <w:rsid w:val="00090E8D"/>
    <w:pPr>
      <w:ind w:left="720"/>
      <w:contextualSpacing/>
    </w:pPr>
  </w:style>
  <w:style w:type="character" w:styleId="IntenseEmphasis">
    <w:name w:val="Intense Emphasis"/>
    <w:basedOn w:val="DefaultParagraphFont"/>
    <w:uiPriority w:val="21"/>
    <w:qFormat/>
    <w:rsid w:val="00090E8D"/>
    <w:rPr>
      <w:i/>
      <w:iCs/>
      <w:color w:val="0F4761" w:themeColor="accent1" w:themeShade="BF"/>
    </w:rPr>
  </w:style>
  <w:style w:type="paragraph" w:styleId="IntenseQuote">
    <w:name w:val="Intense Quote"/>
    <w:basedOn w:val="Normal"/>
    <w:next w:val="Normal"/>
    <w:link w:val="IntenseQuoteChar"/>
    <w:uiPriority w:val="30"/>
    <w:qFormat/>
    <w:rsid w:val="00090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E8D"/>
    <w:rPr>
      <w:i/>
      <w:iCs/>
      <w:color w:val="0F4761" w:themeColor="accent1" w:themeShade="BF"/>
    </w:rPr>
  </w:style>
  <w:style w:type="character" w:styleId="IntenseReference">
    <w:name w:val="Intense Reference"/>
    <w:basedOn w:val="DefaultParagraphFont"/>
    <w:uiPriority w:val="32"/>
    <w:qFormat/>
    <w:rsid w:val="00090E8D"/>
    <w:rPr>
      <w:b/>
      <w:bCs/>
      <w:smallCaps/>
      <w:color w:val="0F4761" w:themeColor="accent1" w:themeShade="BF"/>
      <w:spacing w:val="5"/>
    </w:rPr>
  </w:style>
  <w:style w:type="table" w:styleId="TableGrid">
    <w:name w:val="Table Grid"/>
    <w:basedOn w:val="TableNormal"/>
    <w:uiPriority w:val="39"/>
    <w:rsid w:val="009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C3"/>
  </w:style>
  <w:style w:type="paragraph" w:styleId="Footer">
    <w:name w:val="footer"/>
    <w:basedOn w:val="Normal"/>
    <w:link w:val="FooterChar"/>
    <w:uiPriority w:val="99"/>
    <w:unhideWhenUsed/>
    <w:rsid w:val="00632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C3"/>
  </w:style>
  <w:style w:type="paragraph" w:styleId="Revision">
    <w:name w:val="Revision"/>
    <w:hidden/>
    <w:uiPriority w:val="99"/>
    <w:semiHidden/>
    <w:rsid w:val="00D55CDA"/>
    <w:pPr>
      <w:spacing w:after="0" w:line="240" w:lineRule="auto"/>
    </w:pPr>
  </w:style>
  <w:style w:type="character" w:styleId="CommentReference">
    <w:name w:val="annotation reference"/>
    <w:basedOn w:val="DefaultParagraphFont"/>
    <w:uiPriority w:val="99"/>
    <w:semiHidden/>
    <w:unhideWhenUsed/>
    <w:rsid w:val="000B6D17"/>
    <w:rPr>
      <w:sz w:val="16"/>
      <w:szCs w:val="16"/>
    </w:rPr>
  </w:style>
  <w:style w:type="paragraph" w:styleId="CommentText">
    <w:name w:val="annotation text"/>
    <w:basedOn w:val="Normal"/>
    <w:link w:val="CommentTextChar"/>
    <w:uiPriority w:val="99"/>
    <w:unhideWhenUsed/>
    <w:rsid w:val="000B6D17"/>
    <w:pPr>
      <w:spacing w:line="240" w:lineRule="auto"/>
    </w:pPr>
    <w:rPr>
      <w:sz w:val="20"/>
      <w:szCs w:val="20"/>
    </w:rPr>
  </w:style>
  <w:style w:type="character" w:customStyle="1" w:styleId="CommentTextChar">
    <w:name w:val="Comment Text Char"/>
    <w:basedOn w:val="DefaultParagraphFont"/>
    <w:link w:val="CommentText"/>
    <w:uiPriority w:val="99"/>
    <w:rsid w:val="000B6D17"/>
    <w:rPr>
      <w:sz w:val="20"/>
      <w:szCs w:val="20"/>
    </w:rPr>
  </w:style>
  <w:style w:type="paragraph" w:styleId="CommentSubject">
    <w:name w:val="annotation subject"/>
    <w:basedOn w:val="CommentText"/>
    <w:next w:val="CommentText"/>
    <w:link w:val="CommentSubjectChar"/>
    <w:uiPriority w:val="99"/>
    <w:semiHidden/>
    <w:unhideWhenUsed/>
    <w:rsid w:val="000B6D17"/>
    <w:rPr>
      <w:b/>
      <w:bCs/>
    </w:rPr>
  </w:style>
  <w:style w:type="character" w:customStyle="1" w:styleId="CommentSubjectChar">
    <w:name w:val="Comment Subject Char"/>
    <w:basedOn w:val="CommentTextChar"/>
    <w:link w:val="CommentSubject"/>
    <w:uiPriority w:val="99"/>
    <w:semiHidden/>
    <w:rsid w:val="000B6D17"/>
    <w:rPr>
      <w:b/>
      <w:bCs/>
      <w:sz w:val="20"/>
      <w:szCs w:val="20"/>
    </w:rPr>
  </w:style>
  <w:style w:type="character" w:styleId="Mention">
    <w:name w:val="Mention"/>
    <w:basedOn w:val="DefaultParagraphFont"/>
    <w:uiPriority w:val="99"/>
    <w:unhideWhenUsed/>
    <w:rsid w:val="003F70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9705">
      <w:bodyDiv w:val="1"/>
      <w:marLeft w:val="0"/>
      <w:marRight w:val="0"/>
      <w:marTop w:val="0"/>
      <w:marBottom w:val="0"/>
      <w:divBdr>
        <w:top w:val="none" w:sz="0" w:space="0" w:color="auto"/>
        <w:left w:val="none" w:sz="0" w:space="0" w:color="auto"/>
        <w:bottom w:val="none" w:sz="0" w:space="0" w:color="auto"/>
        <w:right w:val="none" w:sz="0" w:space="0" w:color="auto"/>
      </w:divBdr>
    </w:div>
    <w:div w:id="361707924">
      <w:bodyDiv w:val="1"/>
      <w:marLeft w:val="0"/>
      <w:marRight w:val="0"/>
      <w:marTop w:val="0"/>
      <w:marBottom w:val="0"/>
      <w:divBdr>
        <w:top w:val="none" w:sz="0" w:space="0" w:color="auto"/>
        <w:left w:val="none" w:sz="0" w:space="0" w:color="auto"/>
        <w:bottom w:val="none" w:sz="0" w:space="0" w:color="auto"/>
        <w:right w:val="none" w:sz="0" w:space="0" w:color="auto"/>
      </w:divBdr>
    </w:div>
    <w:div w:id="20176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ABAF9-44B1-414C-8375-7C22C18EC6E5}">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B6C6CF9A-E115-4DF0-9736-1E57D96A5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561E8-4527-480A-8EA8-E8420950DF8B}">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1241</Words>
  <Characters>7079</Characters>
  <Application>Microsoft Office Word</Application>
  <DocSecurity>0</DocSecurity>
  <Lines>58</Lines>
  <Paragraphs>16</Paragraphs>
  <ScaleCrop>false</ScaleCrop>
  <Company>University of Stirling</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Moray Nichol</dc:creator>
  <cp:keywords/>
  <dc:description/>
  <cp:lastModifiedBy>Moray Nichol</cp:lastModifiedBy>
  <cp:revision>222</cp:revision>
  <dcterms:created xsi:type="dcterms:W3CDTF">2024-08-24T05:55:00Z</dcterms:created>
  <dcterms:modified xsi:type="dcterms:W3CDTF">2024-11-26T11:39:00Z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