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31692" w:rsidP="00A41D7D" w:rsidRDefault="005D5161" w14:paraId="6AD8752F" w14:textId="2B825685">
      <w:pPr>
        <w:pStyle w:val="Title"/>
        <w:spacing w:before="120" w:after="160" w:line="360" w:lineRule="auto"/>
        <w:rPr>
          <w:rFonts w:ascii="Arial" w:hAnsi="Arial" w:cs="Arial"/>
          <w:b/>
          <w:bCs/>
          <w:sz w:val="26"/>
          <w:szCs w:val="26"/>
        </w:rPr>
      </w:pPr>
      <w:r w:rsidRPr="005D5161">
        <w:rPr>
          <w:rFonts w:ascii="Arial" w:hAnsi="Arial" w:cs="Arial"/>
          <w:b/>
          <w:bCs/>
          <w:noProof/>
          <w:sz w:val="26"/>
          <w:szCs w:val="26"/>
        </w:rPr>
        <w:drawing>
          <wp:inline distT="0" distB="0" distL="0" distR="0" wp14:anchorId="4A5757EC" wp14:editId="3F81DA39">
            <wp:extent cx="1847850" cy="476250"/>
            <wp:effectExtent l="0" t="0" r="0" b="0"/>
            <wp:docPr id="95121991"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1991" name="Picture 1" descr="A green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p>
    <w:p w:rsidR="00804341" w:rsidP="00B14F48" w:rsidRDefault="00804341" w14:paraId="5DA49BDF" w14:textId="77777777">
      <w:pPr>
        <w:pStyle w:val="Title"/>
        <w:spacing w:before="120" w:after="160"/>
        <w:rPr>
          <w:rFonts w:ascii="Calibri" w:hAnsi="Calibri" w:cs="Calibri"/>
          <w:b/>
          <w:bCs/>
          <w:sz w:val="22"/>
          <w:szCs w:val="22"/>
        </w:rPr>
      </w:pPr>
    </w:p>
    <w:p w:rsidRPr="00804341" w:rsidR="00BE27F9" w:rsidP="00B14F48" w:rsidRDefault="002A34E6" w14:paraId="6EB4CC79" w14:textId="52067ADF">
      <w:pPr>
        <w:pStyle w:val="Title"/>
        <w:spacing w:before="120" w:after="160"/>
        <w:rPr>
          <w:rFonts w:ascii="Calibri" w:hAnsi="Calibri" w:cs="Calibri"/>
          <w:b/>
          <w:bCs/>
          <w:sz w:val="22"/>
          <w:szCs w:val="22"/>
        </w:rPr>
      </w:pPr>
      <w:r w:rsidRPr="00804341">
        <w:rPr>
          <w:rFonts w:ascii="Calibri" w:hAnsi="Calibri" w:cs="Calibri"/>
          <w:b/>
          <w:bCs/>
          <w:sz w:val="22"/>
          <w:szCs w:val="22"/>
        </w:rPr>
        <w:t>Minutes - University Court</w:t>
      </w:r>
    </w:p>
    <w:p w:rsidRPr="00B14F48" w:rsidR="00BE27F9" w:rsidP="00B14F48" w:rsidRDefault="002A34E6" w14:paraId="100AD2EB" w14:textId="6B87AA4B">
      <w:pPr>
        <w:spacing w:after="0" w:line="240" w:lineRule="auto"/>
        <w:rPr>
          <w:rFonts w:ascii="Calibri" w:hAnsi="Calibri" w:cs="Calibri"/>
          <w:sz w:val="22"/>
          <w:szCs w:val="22"/>
        </w:rPr>
      </w:pPr>
      <w:r w:rsidRPr="00B14F48">
        <w:rPr>
          <w:rFonts w:ascii="Calibri" w:hAnsi="Calibri" w:cs="Calibri"/>
          <w:sz w:val="22"/>
          <w:szCs w:val="22"/>
        </w:rPr>
        <w:t xml:space="preserve">04/11/2025 | </w:t>
      </w:r>
      <w:r w:rsidR="00B14F48">
        <w:rPr>
          <w:rFonts w:ascii="Calibri" w:hAnsi="Calibri" w:cs="Calibri"/>
          <w:sz w:val="22"/>
          <w:szCs w:val="22"/>
        </w:rPr>
        <w:t>2:</w:t>
      </w:r>
      <w:r w:rsidRPr="00B14F48">
        <w:rPr>
          <w:rFonts w:ascii="Calibri" w:hAnsi="Calibri" w:cs="Calibri"/>
          <w:sz w:val="22"/>
          <w:szCs w:val="22"/>
        </w:rPr>
        <w:t>00</w:t>
      </w:r>
      <w:r w:rsidR="00B14F48">
        <w:rPr>
          <w:rFonts w:ascii="Calibri" w:hAnsi="Calibri" w:cs="Calibri"/>
          <w:sz w:val="22"/>
          <w:szCs w:val="22"/>
        </w:rPr>
        <w:t xml:space="preserve">pm to </w:t>
      </w:r>
      <w:r w:rsidR="00A34C44">
        <w:rPr>
          <w:rFonts w:ascii="Calibri" w:hAnsi="Calibri" w:cs="Calibri"/>
          <w:sz w:val="22"/>
          <w:szCs w:val="22"/>
        </w:rPr>
        <w:t>4:30pm</w:t>
      </w:r>
    </w:p>
    <w:p w:rsidRPr="00B14F48" w:rsidR="00BE27F9" w:rsidP="00B14F48" w:rsidRDefault="002A34E6" w14:paraId="6E96E04D" w14:textId="77777777">
      <w:pPr>
        <w:spacing w:after="0" w:line="240" w:lineRule="auto"/>
        <w:rPr>
          <w:rFonts w:ascii="Calibri" w:hAnsi="Calibri" w:cs="Calibri"/>
          <w:sz w:val="22"/>
          <w:szCs w:val="22"/>
        </w:rPr>
      </w:pPr>
      <w:r w:rsidRPr="00B14F48">
        <w:rPr>
          <w:rFonts w:ascii="Calibri" w:hAnsi="Calibri" w:cs="Calibri"/>
          <w:sz w:val="22"/>
          <w:szCs w:val="22"/>
        </w:rPr>
        <w:t>Stirling Court Hotel</w:t>
      </w:r>
    </w:p>
    <w:p w:rsidRPr="00B14F48" w:rsidR="00520BF5" w:rsidP="00804341" w:rsidRDefault="001620B5" w14:paraId="505F5BC2" w14:textId="631917FF">
      <w:pPr>
        <w:spacing w:before="120" w:after="0" w:line="240" w:lineRule="auto"/>
        <w:rPr>
          <w:rFonts w:ascii="Calibri" w:hAnsi="Calibri" w:cs="Calibri" w:eastAsiaTheme="majorEastAsia"/>
          <w:b/>
          <w:bCs/>
          <w:spacing w:val="-10"/>
          <w:kern w:val="28"/>
          <w:sz w:val="22"/>
          <w:szCs w:val="22"/>
        </w:rPr>
      </w:pPr>
      <w:r>
        <w:rPr>
          <w:rFonts w:ascii="Calibri" w:hAnsi="Calibri" w:cs="Calibri" w:eastAsiaTheme="majorEastAsia"/>
          <w:b/>
          <w:bCs/>
          <w:spacing w:val="-10"/>
          <w:kern w:val="28"/>
          <w:sz w:val="22"/>
          <w:szCs w:val="22"/>
        </w:rPr>
        <w:t xml:space="preserve">Present </w:t>
      </w:r>
    </w:p>
    <w:p w:rsidR="00520BF5" w:rsidP="00804341" w:rsidRDefault="00520BF5" w14:paraId="3210D52C" w14:textId="130ECFF3">
      <w:pPr>
        <w:spacing w:after="0" w:line="240" w:lineRule="auto"/>
        <w:jc w:val="both"/>
        <w:rPr>
          <w:rFonts w:ascii="Calibri" w:hAnsi="Calibri" w:cs="Calibri"/>
          <w:sz w:val="22"/>
          <w:szCs w:val="22"/>
        </w:rPr>
      </w:pPr>
      <w:r w:rsidRPr="41345929">
        <w:rPr>
          <w:rFonts w:ascii="Calibri" w:hAnsi="Calibri" w:cs="Calibri"/>
          <w:sz w:val="22"/>
          <w:szCs w:val="22"/>
        </w:rPr>
        <w:t>Mr Gary Fleming</w:t>
      </w:r>
      <w:r w:rsidRPr="41345929" w:rsidR="01994D20">
        <w:rPr>
          <w:rFonts w:ascii="Calibri" w:hAnsi="Calibri" w:cs="Calibri"/>
          <w:sz w:val="22"/>
          <w:szCs w:val="22"/>
        </w:rPr>
        <w:t>,</w:t>
      </w:r>
      <w:r w:rsidRPr="20201CE7">
        <w:rPr>
          <w:rFonts w:ascii="Calibri" w:hAnsi="Calibri" w:cs="Calibri"/>
          <w:sz w:val="22"/>
          <w:szCs w:val="22"/>
        </w:rPr>
        <w:t xml:space="preserve"> Mr Kenny Fraser</w:t>
      </w:r>
      <w:r w:rsidRPr="20201CE7" w:rsidR="5D822A1B">
        <w:rPr>
          <w:rFonts w:ascii="Calibri" w:hAnsi="Calibri" w:cs="Calibri"/>
          <w:sz w:val="22"/>
          <w:szCs w:val="22"/>
        </w:rPr>
        <w:t>,</w:t>
      </w:r>
      <w:r w:rsidRPr="20201CE7">
        <w:rPr>
          <w:rFonts w:ascii="Calibri" w:hAnsi="Calibri" w:cs="Calibri"/>
          <w:sz w:val="22"/>
          <w:szCs w:val="22"/>
        </w:rPr>
        <w:t xml:space="preserve"> </w:t>
      </w:r>
      <w:r w:rsidRPr="5C01BE7D">
        <w:rPr>
          <w:rFonts w:ascii="Calibri" w:hAnsi="Calibri" w:cs="Calibri"/>
          <w:sz w:val="22"/>
          <w:szCs w:val="22"/>
        </w:rPr>
        <w:t>Ms Susan Gordon Hardy</w:t>
      </w:r>
      <w:r w:rsidRPr="201BEC47" w:rsidR="1B4913DE">
        <w:rPr>
          <w:rFonts w:ascii="Calibri" w:hAnsi="Calibri" w:cs="Calibri"/>
          <w:sz w:val="22"/>
          <w:szCs w:val="22"/>
        </w:rPr>
        <w:t xml:space="preserve"> </w:t>
      </w:r>
      <w:r w:rsidRPr="292AE738" w:rsidR="1B4913DE">
        <w:rPr>
          <w:rFonts w:ascii="Calibri" w:hAnsi="Calibri" w:cs="Calibri"/>
          <w:sz w:val="22"/>
          <w:szCs w:val="22"/>
        </w:rPr>
        <w:t>(Vice Chair</w:t>
      </w:r>
      <w:r w:rsidRPr="64CDC2C2" w:rsidR="1B4913DE">
        <w:rPr>
          <w:rFonts w:ascii="Calibri" w:hAnsi="Calibri" w:cs="Calibri"/>
          <w:sz w:val="22"/>
          <w:szCs w:val="22"/>
        </w:rPr>
        <w:t>)</w:t>
      </w:r>
      <w:r w:rsidRPr="64CDC2C2" w:rsidR="643CFAED">
        <w:rPr>
          <w:rFonts w:ascii="Calibri" w:hAnsi="Calibri" w:cs="Calibri"/>
          <w:sz w:val="22"/>
          <w:szCs w:val="22"/>
        </w:rPr>
        <w:t>,</w:t>
      </w:r>
      <w:r w:rsidRPr="5C01BE7D">
        <w:rPr>
          <w:rFonts w:ascii="Calibri" w:hAnsi="Calibri" w:cs="Calibri"/>
          <w:sz w:val="22"/>
          <w:szCs w:val="22"/>
        </w:rPr>
        <w:t xml:space="preserve"> Mr Hamish Grossart</w:t>
      </w:r>
      <w:r w:rsidRPr="5C01BE7D" w:rsidR="2A6CBE52">
        <w:rPr>
          <w:rFonts w:ascii="Calibri" w:hAnsi="Calibri" w:cs="Calibri"/>
          <w:sz w:val="22"/>
          <w:szCs w:val="22"/>
        </w:rPr>
        <w:t xml:space="preserve"> (Chair)</w:t>
      </w:r>
      <w:r w:rsidRPr="5C01BE7D" w:rsidR="27A8C05B">
        <w:rPr>
          <w:rFonts w:ascii="Calibri" w:hAnsi="Calibri" w:cs="Calibri"/>
          <w:sz w:val="22"/>
          <w:szCs w:val="22"/>
        </w:rPr>
        <w:t>,</w:t>
      </w:r>
      <w:r w:rsidRPr="1E728F50">
        <w:rPr>
          <w:rFonts w:ascii="Calibri" w:hAnsi="Calibri" w:cs="Calibri"/>
          <w:sz w:val="22"/>
          <w:szCs w:val="22"/>
        </w:rPr>
        <w:t xml:space="preserve"> Ms Ellie Hammond</w:t>
      </w:r>
      <w:r w:rsidRPr="1E728F50" w:rsidR="01555802">
        <w:rPr>
          <w:rFonts w:ascii="Calibri" w:hAnsi="Calibri" w:cs="Calibri"/>
          <w:sz w:val="22"/>
          <w:szCs w:val="22"/>
        </w:rPr>
        <w:t>,</w:t>
      </w:r>
      <w:r w:rsidRPr="1E728F50">
        <w:rPr>
          <w:rFonts w:ascii="Calibri" w:hAnsi="Calibri" w:cs="Calibri"/>
          <w:sz w:val="22"/>
          <w:szCs w:val="22"/>
        </w:rPr>
        <w:t xml:space="preserve"> </w:t>
      </w:r>
      <w:r w:rsidRPr="246DC90D">
        <w:rPr>
          <w:rFonts w:ascii="Calibri" w:hAnsi="Calibri" w:cs="Calibri"/>
          <w:sz w:val="22"/>
          <w:szCs w:val="22"/>
        </w:rPr>
        <w:t>Mr Graham Hastie</w:t>
      </w:r>
      <w:r w:rsidRPr="246DC90D" w:rsidR="564D8ED9">
        <w:rPr>
          <w:rFonts w:ascii="Calibri" w:hAnsi="Calibri" w:cs="Calibri"/>
          <w:sz w:val="22"/>
          <w:szCs w:val="22"/>
        </w:rPr>
        <w:t>,</w:t>
      </w:r>
      <w:r w:rsidRPr="0F88A1FF">
        <w:rPr>
          <w:rFonts w:ascii="Calibri" w:hAnsi="Calibri" w:cs="Calibri"/>
          <w:sz w:val="22"/>
          <w:szCs w:val="22"/>
        </w:rPr>
        <w:t xml:space="preserve"> Dr Magdalena Ietswaart</w:t>
      </w:r>
      <w:r w:rsidRPr="0F88A1FF" w:rsidR="52CEF108">
        <w:rPr>
          <w:rFonts w:ascii="Calibri" w:hAnsi="Calibri" w:cs="Calibri"/>
          <w:sz w:val="22"/>
          <w:szCs w:val="22"/>
        </w:rPr>
        <w:t>,</w:t>
      </w:r>
      <w:r w:rsidRPr="0F88A1FF">
        <w:rPr>
          <w:rFonts w:ascii="Calibri" w:hAnsi="Calibri" w:cs="Calibri"/>
          <w:sz w:val="22"/>
          <w:szCs w:val="22"/>
        </w:rPr>
        <w:t xml:space="preserve"> </w:t>
      </w:r>
      <w:r w:rsidRPr="01602C8B">
        <w:rPr>
          <w:rFonts w:ascii="Calibri" w:hAnsi="Calibri" w:cs="Calibri"/>
          <w:sz w:val="22"/>
          <w:szCs w:val="22"/>
        </w:rPr>
        <w:t>Mr Douglas Kearney</w:t>
      </w:r>
      <w:r w:rsidRPr="1E728F50" w:rsidR="501719BF">
        <w:rPr>
          <w:rFonts w:ascii="Calibri" w:hAnsi="Calibri" w:cs="Calibri"/>
          <w:sz w:val="22"/>
          <w:szCs w:val="22"/>
        </w:rPr>
        <w:t>,</w:t>
      </w:r>
      <w:r w:rsidRPr="1E728F50">
        <w:rPr>
          <w:rFonts w:ascii="Calibri" w:hAnsi="Calibri" w:cs="Calibri"/>
          <w:sz w:val="22"/>
          <w:szCs w:val="22"/>
        </w:rPr>
        <w:t xml:space="preserve"> Professor Sir Gerry McCormac</w:t>
      </w:r>
      <w:r w:rsidRPr="1E728F50" w:rsidR="719969F2">
        <w:rPr>
          <w:rFonts w:ascii="Calibri" w:hAnsi="Calibri" w:cs="Calibri"/>
          <w:sz w:val="22"/>
          <w:szCs w:val="22"/>
        </w:rPr>
        <w:t>,</w:t>
      </w:r>
      <w:r w:rsidRPr="1E728F50">
        <w:rPr>
          <w:rFonts w:ascii="Calibri" w:hAnsi="Calibri" w:cs="Calibri"/>
          <w:sz w:val="22"/>
          <w:szCs w:val="22"/>
        </w:rPr>
        <w:t xml:space="preserve"> </w:t>
      </w:r>
      <w:r w:rsidRPr="33DE34EB">
        <w:rPr>
          <w:rFonts w:ascii="Calibri" w:hAnsi="Calibri" w:cs="Calibri"/>
          <w:sz w:val="22"/>
          <w:szCs w:val="22"/>
        </w:rPr>
        <w:t>Professor Gozde Ozakinci</w:t>
      </w:r>
      <w:r w:rsidRPr="33DE34EB" w:rsidR="2C10DC5F">
        <w:rPr>
          <w:rFonts w:ascii="Calibri" w:hAnsi="Calibri" w:cs="Calibri"/>
          <w:sz w:val="22"/>
          <w:szCs w:val="22"/>
        </w:rPr>
        <w:t>,</w:t>
      </w:r>
      <w:r w:rsidRPr="1E728F50">
        <w:rPr>
          <w:rFonts w:ascii="Calibri" w:hAnsi="Calibri" w:cs="Calibri"/>
          <w:sz w:val="22"/>
          <w:szCs w:val="22"/>
        </w:rPr>
        <w:t xml:space="preserve"> Ms Justine Pedussel</w:t>
      </w:r>
      <w:r w:rsidRPr="1E728F50" w:rsidR="023B698B">
        <w:rPr>
          <w:rFonts w:ascii="Calibri" w:hAnsi="Calibri" w:cs="Calibri"/>
          <w:sz w:val="22"/>
          <w:szCs w:val="22"/>
        </w:rPr>
        <w:t>,</w:t>
      </w:r>
      <w:r w:rsidRPr="1E728F50" w:rsidR="7522476F">
        <w:rPr>
          <w:rFonts w:ascii="Calibri" w:hAnsi="Calibri" w:cs="Calibri"/>
          <w:sz w:val="22"/>
          <w:szCs w:val="22"/>
        </w:rPr>
        <w:t xml:space="preserve"> </w:t>
      </w:r>
      <w:r w:rsidRPr="330A42B6" w:rsidR="023B698B">
        <w:rPr>
          <w:rFonts w:ascii="Calibri" w:hAnsi="Calibri" w:cs="Calibri"/>
          <w:sz w:val="22"/>
          <w:szCs w:val="22"/>
        </w:rPr>
        <w:t>Dr Nicky Reid</w:t>
      </w:r>
      <w:r w:rsidRPr="34051671" w:rsidR="023B698B">
        <w:rPr>
          <w:rFonts w:ascii="Calibri" w:hAnsi="Calibri" w:cs="Calibri"/>
          <w:sz w:val="22"/>
          <w:szCs w:val="22"/>
        </w:rPr>
        <w:t>,</w:t>
      </w:r>
      <w:r w:rsidRPr="330A42B6" w:rsidR="7522476F">
        <w:rPr>
          <w:rFonts w:ascii="Calibri" w:hAnsi="Calibri" w:cs="Calibri"/>
          <w:sz w:val="22"/>
          <w:szCs w:val="22"/>
        </w:rPr>
        <w:t xml:space="preserve"> </w:t>
      </w:r>
      <w:r w:rsidRPr="63E524CE">
        <w:rPr>
          <w:rFonts w:ascii="Calibri" w:hAnsi="Calibri" w:cs="Calibri"/>
          <w:sz w:val="22"/>
          <w:szCs w:val="22"/>
        </w:rPr>
        <w:t>Mr William Stancer</w:t>
      </w:r>
      <w:r w:rsidRPr="15E7159E" w:rsidR="612B3A3C">
        <w:rPr>
          <w:rFonts w:ascii="Calibri" w:hAnsi="Calibri" w:cs="Calibri"/>
          <w:sz w:val="22"/>
          <w:szCs w:val="22"/>
        </w:rPr>
        <w:t xml:space="preserve"> and </w:t>
      </w:r>
      <w:r w:rsidRPr="2DD5BECF" w:rsidR="612B3A3C">
        <w:rPr>
          <w:rFonts w:ascii="Calibri" w:hAnsi="Calibri" w:cs="Calibri"/>
          <w:sz w:val="22"/>
          <w:szCs w:val="22"/>
        </w:rPr>
        <w:t xml:space="preserve">Neville </w:t>
      </w:r>
      <w:r w:rsidRPr="4443232B" w:rsidR="612B3A3C">
        <w:rPr>
          <w:rFonts w:ascii="Calibri" w:hAnsi="Calibri" w:cs="Calibri"/>
          <w:sz w:val="22"/>
          <w:szCs w:val="22"/>
        </w:rPr>
        <w:t>Wylie</w:t>
      </w:r>
      <w:r w:rsidRPr="63E524CE" w:rsidR="6758EE33">
        <w:rPr>
          <w:rFonts w:ascii="Calibri" w:hAnsi="Calibri" w:cs="Calibri"/>
          <w:sz w:val="22"/>
          <w:szCs w:val="22"/>
        </w:rPr>
        <w:t>.</w:t>
      </w:r>
      <w:r w:rsidRPr="00B14F48">
        <w:rPr>
          <w:rFonts w:ascii="Calibri" w:hAnsi="Calibri" w:cs="Calibri"/>
          <w:sz w:val="22"/>
          <w:szCs w:val="22"/>
        </w:rPr>
        <w:t xml:space="preserve"> </w:t>
      </w:r>
    </w:p>
    <w:p w:rsidR="001620B5" w:rsidP="00804341" w:rsidRDefault="001620B5" w14:paraId="0F88EFAF" w14:textId="77777777">
      <w:pPr>
        <w:spacing w:after="0" w:line="240" w:lineRule="auto"/>
        <w:jc w:val="both"/>
        <w:rPr>
          <w:rFonts w:ascii="Calibri" w:hAnsi="Calibri" w:cs="Calibri"/>
          <w:sz w:val="22"/>
          <w:szCs w:val="22"/>
        </w:rPr>
      </w:pPr>
    </w:p>
    <w:p w:rsidRPr="00C31DB1" w:rsidR="001620B5" w:rsidP="00804341" w:rsidRDefault="001620B5" w14:paraId="5CCD3395" w14:textId="36C3A7B1">
      <w:pPr>
        <w:spacing w:after="0" w:line="240" w:lineRule="auto"/>
        <w:jc w:val="both"/>
        <w:rPr>
          <w:rFonts w:ascii="Calibri" w:hAnsi="Calibri" w:cs="Calibri"/>
          <w:b/>
          <w:bCs/>
          <w:sz w:val="22"/>
          <w:szCs w:val="22"/>
        </w:rPr>
      </w:pPr>
      <w:r w:rsidRPr="00C31DB1">
        <w:rPr>
          <w:rFonts w:ascii="Calibri" w:hAnsi="Calibri" w:cs="Calibri"/>
          <w:b/>
          <w:bCs/>
          <w:sz w:val="22"/>
          <w:szCs w:val="22"/>
        </w:rPr>
        <w:t xml:space="preserve">In Attendance </w:t>
      </w:r>
    </w:p>
    <w:p w:rsidR="001620B5" w:rsidP="00804341" w:rsidRDefault="17854853" w14:paraId="582ADC8C" w14:textId="353DB86E">
      <w:pPr>
        <w:spacing w:after="0" w:line="240" w:lineRule="auto"/>
        <w:jc w:val="both"/>
        <w:rPr>
          <w:rFonts w:ascii="Calibri" w:hAnsi="Calibri" w:cs="Calibri"/>
          <w:sz w:val="22"/>
          <w:szCs w:val="22"/>
        </w:rPr>
      </w:pPr>
      <w:r w:rsidRPr="32011BB6">
        <w:rPr>
          <w:rFonts w:ascii="Calibri" w:hAnsi="Calibri" w:cs="Calibri"/>
          <w:sz w:val="22"/>
          <w:szCs w:val="22"/>
        </w:rPr>
        <w:t xml:space="preserve">Professor Kirstie Blair, </w:t>
      </w:r>
      <w:r w:rsidRPr="32011BB6" w:rsidR="00C31DB1">
        <w:rPr>
          <w:rFonts w:ascii="Calibri" w:hAnsi="Calibri" w:cs="Calibri"/>
          <w:sz w:val="22"/>
          <w:szCs w:val="22"/>
        </w:rPr>
        <w:t xml:space="preserve">Ms Rose Edwards, </w:t>
      </w:r>
      <w:r w:rsidRPr="5799E50F" w:rsidR="00C31DB1">
        <w:rPr>
          <w:rFonts w:ascii="Calibri" w:hAnsi="Calibri" w:cs="Calibri"/>
          <w:sz w:val="22"/>
          <w:szCs w:val="22"/>
        </w:rPr>
        <w:t xml:space="preserve">Ms Cathy Gallagher, Ms Jennifer Harrison, Ms Karen Lawson, Ms Joanna Morrow, </w:t>
      </w:r>
      <w:r w:rsidRPr="667866FE" w:rsidR="00C31DB1">
        <w:rPr>
          <w:rFonts w:ascii="Calibri" w:hAnsi="Calibri" w:cs="Calibri"/>
          <w:sz w:val="22"/>
          <w:szCs w:val="22"/>
        </w:rPr>
        <w:t>Mr Moray Nichol (Clerk), Ms Eileen Schofield, P</w:t>
      </w:r>
      <w:r w:rsidRPr="55B31FD0" w:rsidR="00C31DB1">
        <w:rPr>
          <w:rFonts w:ascii="Calibri" w:hAnsi="Calibri" w:cs="Calibri"/>
          <w:sz w:val="22"/>
          <w:szCs w:val="22"/>
        </w:rPr>
        <w:t>rofessor Helen Scott,</w:t>
      </w:r>
      <w:r w:rsidRPr="4C832A41" w:rsidR="00C31DB1">
        <w:rPr>
          <w:rFonts w:ascii="Calibri" w:hAnsi="Calibri" w:cs="Calibri"/>
          <w:sz w:val="22"/>
          <w:szCs w:val="22"/>
        </w:rPr>
        <w:t xml:space="preserve"> </w:t>
      </w:r>
      <w:r w:rsidRPr="309D2E3D" w:rsidR="00C31DB1">
        <w:rPr>
          <w:rFonts w:ascii="Calibri" w:hAnsi="Calibri" w:cs="Calibri"/>
          <w:sz w:val="22"/>
          <w:szCs w:val="22"/>
        </w:rPr>
        <w:t>Professor Terri Scot</w:t>
      </w:r>
      <w:r w:rsidRPr="2F2DE5ED" w:rsidR="00C31DB1">
        <w:rPr>
          <w:rFonts w:ascii="Calibri" w:hAnsi="Calibri" w:cs="Calibri"/>
          <w:sz w:val="22"/>
          <w:szCs w:val="22"/>
        </w:rPr>
        <w:t>t, Mr Liam Spillane, Dr David Telford, P</w:t>
      </w:r>
      <w:r w:rsidRPr="32E56205" w:rsidR="00C31DB1">
        <w:rPr>
          <w:rFonts w:ascii="Calibri" w:hAnsi="Calibri" w:cs="Calibri"/>
          <w:sz w:val="22"/>
          <w:szCs w:val="22"/>
        </w:rPr>
        <w:t>rofessor Paul Townsend</w:t>
      </w:r>
      <w:r w:rsidRPr="0F9A269D" w:rsidR="00C31DB1">
        <w:rPr>
          <w:rFonts w:ascii="Calibri" w:hAnsi="Calibri" w:cs="Calibri"/>
          <w:sz w:val="22"/>
          <w:szCs w:val="22"/>
        </w:rPr>
        <w:t xml:space="preserve"> and Dr Lee Zhuang.    </w:t>
      </w:r>
      <w:r w:rsidRPr="00C31DB1" w:rsidR="00C31DB1">
        <w:rPr>
          <w:rFonts w:ascii="Calibri" w:hAnsi="Calibri" w:cs="Calibri"/>
          <w:sz w:val="22"/>
          <w:szCs w:val="22"/>
        </w:rPr>
        <w:t> </w:t>
      </w:r>
    </w:p>
    <w:p w:rsidR="001620B5" w:rsidP="00804341" w:rsidRDefault="001620B5" w14:paraId="7F389678" w14:textId="77777777">
      <w:pPr>
        <w:spacing w:after="0" w:line="240" w:lineRule="auto"/>
        <w:jc w:val="both"/>
        <w:rPr>
          <w:rFonts w:ascii="Calibri" w:hAnsi="Calibri" w:cs="Calibri"/>
          <w:sz w:val="22"/>
          <w:szCs w:val="22"/>
        </w:rPr>
      </w:pPr>
    </w:p>
    <w:p w:rsidRPr="00B14F48" w:rsidR="00BE27F9" w:rsidP="00804341" w:rsidRDefault="002A34E6" w14:paraId="606C6651"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 Welcome and Apologies</w:t>
      </w:r>
    </w:p>
    <w:p w:rsidRPr="00B14F48" w:rsidR="00BE27F9" w:rsidP="00804341" w:rsidRDefault="002A34E6" w14:paraId="7376BE63" w14:textId="77777777">
      <w:pPr>
        <w:spacing w:after="0" w:line="240" w:lineRule="auto"/>
        <w:rPr>
          <w:rFonts w:ascii="Calibri" w:hAnsi="Calibri" w:cs="Calibri"/>
          <w:sz w:val="22"/>
          <w:szCs w:val="22"/>
        </w:rPr>
      </w:pPr>
      <w:r w:rsidRPr="00B14F48">
        <w:rPr>
          <w:rFonts w:ascii="Calibri" w:hAnsi="Calibri" w:cs="Calibri"/>
          <w:sz w:val="22"/>
          <w:szCs w:val="22"/>
        </w:rPr>
        <w:t>Apologies for absence were received from Dr Deborah Keith, Ms Lynne Marr, Lord Provost Elaine Watterson and Professor Clare Wilson. </w:t>
      </w:r>
    </w:p>
    <w:p w:rsidRPr="00B14F48" w:rsidR="00BE27F9" w:rsidP="00804341" w:rsidRDefault="002A34E6" w14:paraId="6E7BEAA2"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804341" w:rsidRDefault="002A34E6" w14:paraId="676DBDA9" w14:textId="77777777">
      <w:pPr>
        <w:spacing w:after="0" w:line="240" w:lineRule="auto"/>
        <w:jc w:val="both"/>
        <w:rPr>
          <w:rFonts w:ascii="Calibri" w:hAnsi="Calibri" w:cs="Calibri"/>
          <w:sz w:val="22"/>
          <w:szCs w:val="22"/>
        </w:rPr>
      </w:pPr>
      <w:r w:rsidRPr="00B14F48">
        <w:rPr>
          <w:rFonts w:ascii="Calibri" w:hAnsi="Calibri" w:cs="Calibri"/>
          <w:sz w:val="22"/>
          <w:szCs w:val="22"/>
        </w:rPr>
        <w:t>The Chair welcomed Nicky Reid following her appointment to University Court.  The Chair advised Court that following a recent recruitment process, Norman Murray was also appointed to University Court as a Lay Member from 5</w:t>
      </w:r>
      <w:r w:rsidRPr="00B14F48">
        <w:rPr>
          <w:rFonts w:ascii="Calibri" w:hAnsi="Calibri" w:cs="Calibri"/>
          <w:sz w:val="22"/>
          <w:szCs w:val="22"/>
          <w:vertAlign w:val="superscript"/>
        </w:rPr>
        <w:t>th</w:t>
      </w:r>
      <w:r w:rsidRPr="00B14F48">
        <w:rPr>
          <w:rFonts w:ascii="Calibri" w:hAnsi="Calibri" w:cs="Calibri"/>
          <w:sz w:val="22"/>
          <w:szCs w:val="22"/>
        </w:rPr>
        <w:t xml:space="preserve"> November 2025.   </w:t>
      </w:r>
    </w:p>
    <w:p w:rsidRPr="00B14F48" w:rsidR="00BE27F9" w:rsidP="00804341" w:rsidRDefault="002A34E6" w14:paraId="63E4A9CD" w14:textId="77777777">
      <w:pPr>
        <w:spacing w:after="0" w:line="240" w:lineRule="auto"/>
        <w:ind w:left="134"/>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7F2083C" w14:textId="77777777">
      <w:pPr>
        <w:spacing w:after="0" w:line="240" w:lineRule="auto"/>
        <w:jc w:val="both"/>
        <w:rPr>
          <w:rFonts w:ascii="Calibri" w:hAnsi="Calibri" w:cs="Calibri"/>
          <w:sz w:val="22"/>
          <w:szCs w:val="22"/>
        </w:rPr>
      </w:pPr>
      <w:r w:rsidRPr="00B14F48">
        <w:rPr>
          <w:rFonts w:ascii="Calibri" w:hAnsi="Calibri" w:cs="Calibri"/>
          <w:sz w:val="22"/>
          <w:szCs w:val="22"/>
        </w:rPr>
        <w:t>The Chair thanked Professor Malcolm MacLeod for his contribution to the work of Court.  Malcolm provided valued advice to Court as Deputy Principal and was an active contributor as a member of Court since his appointment as Senior Deputy Principal in April 2017. </w:t>
      </w:r>
    </w:p>
    <w:p w:rsidRPr="00B14F48" w:rsidR="00BE27F9" w:rsidP="00B14F48" w:rsidRDefault="002A34E6" w14:paraId="4F6584BE" w14:textId="77777777">
      <w:pPr>
        <w:spacing w:after="0" w:line="240" w:lineRule="auto"/>
        <w:ind w:left="134"/>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014AB55" w14:textId="77777777">
      <w:pPr>
        <w:spacing w:after="0" w:line="240" w:lineRule="auto"/>
        <w:jc w:val="both"/>
        <w:rPr>
          <w:rFonts w:ascii="Calibri" w:hAnsi="Calibri" w:cs="Calibri"/>
          <w:sz w:val="22"/>
          <w:szCs w:val="22"/>
        </w:rPr>
      </w:pPr>
      <w:r w:rsidRPr="00B14F48">
        <w:rPr>
          <w:rFonts w:ascii="Calibri" w:hAnsi="Calibri" w:cs="Calibri"/>
          <w:sz w:val="22"/>
          <w:szCs w:val="22"/>
        </w:rPr>
        <w:t>The Chair thanked Ms Pamela Crawford for her commitment and contribution to the University following her recent retirement.  Pamela was Head of Student Skills and Employability and was elected to University Court as a member of professional services staff in January 2020.  </w:t>
      </w:r>
    </w:p>
    <w:p w:rsidRPr="00B14F48" w:rsidR="00BE27F9" w:rsidP="001F4436" w:rsidRDefault="002A34E6" w14:paraId="6BFD7B4B"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2. Declarations of Interest</w:t>
      </w:r>
    </w:p>
    <w:p w:rsidRPr="00B14F48" w:rsidR="00BE27F9" w:rsidP="00B14F48" w:rsidRDefault="002A34E6" w14:paraId="1D5F6CEC" w14:textId="77777777">
      <w:pPr>
        <w:spacing w:after="0" w:line="240" w:lineRule="auto"/>
        <w:rPr>
          <w:rFonts w:ascii="Calibri" w:hAnsi="Calibri" w:cs="Calibri"/>
          <w:sz w:val="22"/>
          <w:szCs w:val="22"/>
        </w:rPr>
      </w:pPr>
      <w:r w:rsidRPr="00B14F48">
        <w:rPr>
          <w:rFonts w:ascii="Calibri" w:hAnsi="Calibri" w:cs="Calibri"/>
          <w:sz w:val="22"/>
          <w:szCs w:val="22"/>
        </w:rPr>
        <w:t>There were no new declarations of interest declared. </w:t>
      </w:r>
    </w:p>
    <w:p w:rsidRPr="00B14F48" w:rsidR="00BE27F9" w:rsidP="001F4436" w:rsidRDefault="002A34E6" w14:paraId="61060138"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3. Minutes</w:t>
      </w:r>
    </w:p>
    <w:p w:rsidRPr="00B14F48" w:rsidR="00BE27F9" w:rsidP="000017CA" w:rsidRDefault="002A34E6" w14:paraId="09AF38FC" w14:textId="1463F58B">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approved</w:t>
      </w:r>
      <w:r w:rsidRPr="00B14F48">
        <w:rPr>
          <w:rFonts w:ascii="Calibri" w:hAnsi="Calibri" w:cs="Calibri"/>
          <w:b/>
          <w:sz w:val="22"/>
          <w:szCs w:val="22"/>
        </w:rPr>
        <w:t> </w:t>
      </w:r>
      <w:r w:rsidRPr="00B14F48">
        <w:rPr>
          <w:rFonts w:ascii="Calibri" w:hAnsi="Calibri" w:cs="Calibri"/>
          <w:sz w:val="22"/>
          <w:szCs w:val="22"/>
        </w:rPr>
        <w:t>the minutes of the meeting held on 16 June 2025.</w:t>
      </w:r>
    </w:p>
    <w:p w:rsidRPr="00B14F48" w:rsidR="00BE27F9" w:rsidP="001F4436" w:rsidRDefault="002A34E6" w14:paraId="422AA6EA"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4. Matters Arising Not Otherwise on the Agenda</w:t>
      </w:r>
    </w:p>
    <w:p w:rsidRPr="00B14F48" w:rsidR="00BE27F9" w:rsidP="00B14F48" w:rsidRDefault="002A34E6" w14:paraId="09EE465D" w14:textId="77777777">
      <w:pPr>
        <w:spacing w:after="0" w:line="240" w:lineRule="auto"/>
        <w:rPr>
          <w:rFonts w:ascii="Calibri" w:hAnsi="Calibri" w:cs="Calibri"/>
          <w:sz w:val="22"/>
          <w:szCs w:val="22"/>
        </w:rPr>
      </w:pPr>
      <w:r w:rsidRPr="00B14F48">
        <w:rPr>
          <w:rFonts w:ascii="Calibri" w:hAnsi="Calibri" w:cs="Calibri"/>
          <w:sz w:val="22"/>
          <w:szCs w:val="22"/>
        </w:rPr>
        <w:t>There were no matters arising not otherwise on the agenda. </w:t>
      </w:r>
    </w:p>
    <w:p w:rsidRPr="00B14F48" w:rsidR="00BE27F9" w:rsidP="001F4436" w:rsidRDefault="002A34E6" w14:paraId="50D28768"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5. Remit, Composition and Membership</w:t>
      </w:r>
    </w:p>
    <w:p w:rsidRPr="00B14F48" w:rsidR="00BE27F9" w:rsidP="00B14F48" w:rsidRDefault="002A34E6" w14:paraId="51B2387E" w14:textId="77777777">
      <w:pPr>
        <w:spacing w:after="0" w:line="240" w:lineRule="auto"/>
        <w:jc w:val="both"/>
        <w:rPr>
          <w:rFonts w:ascii="Calibri" w:hAnsi="Calibri" w:cs="Calibri"/>
          <w:sz w:val="22"/>
          <w:szCs w:val="22"/>
        </w:rPr>
      </w:pPr>
      <w:r w:rsidRPr="00B14F48">
        <w:rPr>
          <w:rFonts w:ascii="Calibri" w:hAnsi="Calibri" w:cs="Calibri"/>
          <w:sz w:val="22"/>
          <w:szCs w:val="22"/>
        </w:rPr>
        <w:t>Members received the remit, composition and current membership of University Court for the academic year 2025/26.   Members discussed current vacancies on Court and received an update on the outcome to the Lay Member of Court recruitment process and next steps.  These included an election to fill a vacancy for a member of professional services staff on Court and additional appointments to Court and its committees.   </w:t>
      </w:r>
    </w:p>
    <w:p w:rsidRPr="00B14F48" w:rsidR="00BE27F9" w:rsidP="00B14F48" w:rsidRDefault="002A34E6" w14:paraId="15AA318D"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45ED6AC5"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remit, composition and membership of Court for 2025/26.</w:t>
      </w:r>
    </w:p>
    <w:p w:rsidRPr="00B14F48" w:rsidR="00BE27F9" w:rsidP="001F4436" w:rsidRDefault="002A34E6" w14:paraId="6574061F"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6. Key Developments in the External Environment</w:t>
      </w:r>
    </w:p>
    <w:p w:rsidRPr="00B14F48" w:rsidR="00BE27F9" w:rsidP="00B14F48" w:rsidRDefault="002A34E6" w14:paraId="55C196BE"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an overview of recent developments in the external environment that included coverage of Scottish Funding Council (SFC) Final Funding Allocations, SFC Sector Financial Sustainability Report, changes to University tuition fees in England, graduate outcomes and geopolitical developments.   </w:t>
      </w:r>
    </w:p>
    <w:p w:rsidRPr="00B14F48" w:rsidR="00BE27F9" w:rsidP="00B14F48" w:rsidRDefault="002A34E6" w14:paraId="01512BE8"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58CC45ED" w14:textId="6FDED9E8">
      <w:pPr>
        <w:spacing w:after="0" w:line="240" w:lineRule="auto"/>
        <w:jc w:val="both"/>
        <w:rPr>
          <w:rFonts w:ascii="Calibri" w:hAnsi="Calibri" w:cs="Calibri"/>
          <w:sz w:val="22"/>
          <w:szCs w:val="22"/>
        </w:rPr>
      </w:pPr>
      <w:r w:rsidRPr="00B14F48">
        <w:rPr>
          <w:rFonts w:ascii="Calibri" w:hAnsi="Calibri" w:cs="Calibri"/>
          <w:sz w:val="22"/>
          <w:szCs w:val="22"/>
        </w:rPr>
        <w:t xml:space="preserve">Members congratulated the winners across three major categories at the Scottish Student Sport Awards.  It was confirmed that Olympian Angharad Evans was crowned Female Athlete of the Year, High Performance Swim Coach Bradley Hay was named Coach of the </w:t>
      </w:r>
      <w:r w:rsidRPr="00B14F48" w:rsidR="006058DE">
        <w:rPr>
          <w:rFonts w:ascii="Calibri" w:hAnsi="Calibri" w:cs="Calibri"/>
          <w:sz w:val="22"/>
          <w:szCs w:val="22"/>
        </w:rPr>
        <w:t>year,</w:t>
      </w:r>
      <w:r w:rsidRPr="00B14F48">
        <w:rPr>
          <w:rFonts w:ascii="Calibri" w:hAnsi="Calibri" w:cs="Calibri"/>
          <w:sz w:val="22"/>
          <w:szCs w:val="22"/>
        </w:rPr>
        <w:t xml:space="preserve"> and Executive Director of Sport Cathy Gallagher was awarded the Honorary President's Medal in recognition of her extraordinary contribution to student sport at a local, regional and national level.   </w:t>
      </w:r>
    </w:p>
    <w:p w:rsidRPr="00B14F48" w:rsidR="00BE27F9" w:rsidP="00B14F48" w:rsidRDefault="002A34E6" w14:paraId="0DA70637"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89112AD" w14:textId="1C6ECBEA">
      <w:pPr>
        <w:spacing w:after="0" w:line="240" w:lineRule="auto"/>
        <w:jc w:val="both"/>
        <w:rPr>
          <w:rFonts w:ascii="Calibri" w:hAnsi="Calibri" w:cs="Calibri"/>
          <w:sz w:val="22"/>
          <w:szCs w:val="22"/>
        </w:rPr>
      </w:pPr>
      <w:r w:rsidRPr="050A602E">
        <w:rPr>
          <w:rFonts w:ascii="Calibri" w:hAnsi="Calibri" w:cs="Calibri"/>
          <w:sz w:val="22"/>
          <w:szCs w:val="22"/>
        </w:rPr>
        <w:t>Members discussed the protocol for managing speakers and events at the University of Stirling.  It was confirmed that the University is committed to the princip</w:t>
      </w:r>
      <w:r w:rsidRPr="050A602E" w:rsidR="006414EE">
        <w:rPr>
          <w:rFonts w:ascii="Calibri" w:hAnsi="Calibri" w:cs="Calibri"/>
          <w:sz w:val="22"/>
          <w:szCs w:val="22"/>
        </w:rPr>
        <w:t>les</w:t>
      </w:r>
      <w:r w:rsidRPr="050A602E">
        <w:rPr>
          <w:rFonts w:ascii="Calibri" w:hAnsi="Calibri" w:cs="Calibri"/>
          <w:sz w:val="22"/>
          <w:szCs w:val="22"/>
        </w:rPr>
        <w:t xml:space="preserve"> of academic freedom and freedom of speech, and that it is recognised that differing views are best countered by rational discussion and debate.  It was confirmed that the approach undertaken for managing speakers and events is considered via risk assessment in line with the University's protocol and sector </w:t>
      </w:r>
      <w:r w:rsidRPr="050A602E" w:rsidR="009A64A4">
        <w:rPr>
          <w:rFonts w:ascii="Calibri" w:hAnsi="Calibri" w:cs="Calibri"/>
          <w:sz w:val="22"/>
          <w:szCs w:val="22"/>
        </w:rPr>
        <w:t>guidance and</w:t>
      </w:r>
      <w:r w:rsidRPr="050A602E">
        <w:rPr>
          <w:rFonts w:ascii="Calibri" w:hAnsi="Calibri" w:cs="Calibri"/>
          <w:sz w:val="22"/>
          <w:szCs w:val="22"/>
        </w:rPr>
        <w:t xml:space="preserve"> must be balanced with the need to safeguard the wellbeing of students, staff and its duty to comply with key legislation.  It was confirmed that further guidance for members of Court on any request for a speaker or event that may require additional consideration due to potentially sensitive or controversial content could be sought from the Deputy Secretary in the first instance.      </w:t>
      </w:r>
    </w:p>
    <w:p w:rsidRPr="00B14F48" w:rsidR="00BE27F9" w:rsidP="00B14F48" w:rsidRDefault="002A34E6" w14:paraId="46624170" w14:textId="77777777">
      <w:pPr>
        <w:spacing w:after="0" w:line="240" w:lineRule="auto"/>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1B122FD" w14:textId="77777777">
      <w:pPr>
        <w:spacing w:after="0" w:line="240" w:lineRule="auto"/>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recent development in the external environment.</w:t>
      </w:r>
    </w:p>
    <w:p w:rsidRPr="00B14F48" w:rsidR="00BE27F9" w:rsidP="00B14F48" w:rsidRDefault="002A34E6" w14:paraId="760A2D69" w14:textId="77777777">
      <w:pPr>
        <w:spacing w:before="120" w:line="240" w:lineRule="auto"/>
        <w:rPr>
          <w:rFonts w:ascii="Calibri" w:hAnsi="Calibri" w:cs="Calibri"/>
          <w:b/>
          <w:bCs/>
          <w:sz w:val="22"/>
          <w:szCs w:val="22"/>
        </w:rPr>
      </w:pPr>
      <w:r w:rsidRPr="00B14F48">
        <w:rPr>
          <w:rFonts w:ascii="Calibri" w:hAnsi="Calibri" w:cs="Calibri"/>
          <w:b/>
          <w:bCs/>
          <w:sz w:val="22"/>
          <w:szCs w:val="22"/>
        </w:rPr>
        <w:t>INSTITUTIONAL PLANNING AND BUDGETING</w:t>
      </w:r>
    </w:p>
    <w:p w:rsidRPr="00B14F48" w:rsidR="00BE27F9" w:rsidP="001F4436" w:rsidRDefault="002A34E6" w14:paraId="263EF24D"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7. Quarterly Performance Reporting</w:t>
      </w:r>
    </w:p>
    <w:p w:rsidRPr="00B14F48" w:rsidR="00BE27F9" w:rsidP="00B14F48" w:rsidRDefault="002A34E6" w14:paraId="36A8A37C"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 Quarterly Performance Report that set out institutional performance during the fourth quarter of the 2024-25 academic year and highlighted the key achievements, challenges and trends observed during the period, alongside an appraisal of the sector context and factors that could present strategic opportunities or risks to the University. </w:t>
      </w:r>
    </w:p>
    <w:p w:rsidRPr="00B14F48" w:rsidR="00BE27F9" w:rsidP="00B14F48" w:rsidRDefault="002A34E6" w14:paraId="4B8484D5" w14:textId="77777777">
      <w:pPr>
        <w:spacing w:after="0" w:line="240" w:lineRule="auto"/>
        <w:ind w:left="709"/>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DFE4396" w14:textId="77777777">
      <w:pPr>
        <w:spacing w:after="0" w:line="240" w:lineRule="auto"/>
        <w:jc w:val="both"/>
        <w:rPr>
          <w:rFonts w:ascii="Calibri" w:hAnsi="Calibri" w:cs="Calibri"/>
          <w:sz w:val="22"/>
          <w:szCs w:val="22"/>
        </w:rPr>
      </w:pPr>
      <w:r w:rsidRPr="00B14F48">
        <w:rPr>
          <w:rFonts w:ascii="Calibri" w:hAnsi="Calibri" w:cs="Calibri"/>
          <w:sz w:val="22"/>
          <w:szCs w:val="22"/>
        </w:rPr>
        <w:t>It was confirmed that the 2024-25 Quarter 4 management accounts presented a preliminary operating surplus of £0.2m, in line with the Quarter 3 position, with a net operating cash inflow of £7.7m and access to cash balances of £64.6m.  It was confirmed that the University was covenant compliant for 2024-25. </w:t>
      </w:r>
    </w:p>
    <w:p w:rsidRPr="00B14F48" w:rsidR="00BE27F9" w:rsidP="00B14F48" w:rsidRDefault="002A34E6" w14:paraId="4F8F56C0" w14:textId="77777777">
      <w:pPr>
        <w:spacing w:after="0" w:line="240" w:lineRule="auto"/>
        <w:ind w:left="709"/>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54A6B7D" w14:textId="77777777">
      <w:pPr>
        <w:spacing w:after="0" w:line="240" w:lineRule="auto"/>
        <w:jc w:val="both"/>
        <w:rPr>
          <w:rFonts w:ascii="Calibri" w:hAnsi="Calibri" w:cs="Calibri"/>
          <w:sz w:val="22"/>
          <w:szCs w:val="22"/>
        </w:rPr>
      </w:pPr>
      <w:r w:rsidRPr="00B14F48">
        <w:rPr>
          <w:rFonts w:ascii="Calibri" w:hAnsi="Calibri" w:cs="Calibri"/>
          <w:sz w:val="22"/>
          <w:szCs w:val="22"/>
        </w:rPr>
        <w:t>The Quarter 4 Capital and Major Infrastructure update highlighted an actual year-end outturn of £31.4m, a reduction of £5m since Quarter 3.  It was confirmed that this comprised of a £2.5m reduction in forecast costs mainly due to the release of budgets held in contingency until the completion of projects.  It was confirmed that the net Quarter 4 variance of £2.5m was primarily due to timing changes across projects which would be carried forward into 2025-26, and that further reprioritisation of the 2025-26 plan would be required in consideration of the parameters of affordability.   </w:t>
      </w:r>
    </w:p>
    <w:p w:rsidRPr="00B14F48" w:rsidR="00BE27F9" w:rsidP="00B14F48" w:rsidRDefault="002A34E6" w14:paraId="649CC1FA"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91408A5" w14:textId="77777777">
      <w:pPr>
        <w:spacing w:after="0" w:line="240" w:lineRule="auto"/>
        <w:jc w:val="both"/>
        <w:rPr>
          <w:rFonts w:ascii="Calibri" w:hAnsi="Calibri" w:cs="Calibri"/>
          <w:sz w:val="22"/>
          <w:szCs w:val="22"/>
        </w:rPr>
      </w:pPr>
      <w:r w:rsidRPr="00B14F48">
        <w:rPr>
          <w:rFonts w:ascii="Calibri" w:hAnsi="Calibri" w:cs="Calibri"/>
          <w:sz w:val="22"/>
          <w:szCs w:val="22"/>
        </w:rPr>
        <w:t>It was confirmed that the University’s core on-campus and online student population was forecast to increase by c.232 Full Time Equivalent (FTE) for 2025-26. The unregulated population was anticipated to decline by 269 FTE as a result of the prevailing recruitment environment.  It was confirmed that a reduced unregulated population was anticipated when the budget was set and granular monitoring against budget expectations for each student category would continue past the formal Quarter 1 milestone.  </w:t>
      </w:r>
    </w:p>
    <w:p w:rsidRPr="00B14F48" w:rsidR="00BE27F9" w:rsidP="00B14F48" w:rsidRDefault="002A34E6" w14:paraId="10EF996B"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78EB310" w14:textId="7D184ED8">
      <w:pPr>
        <w:spacing w:after="0" w:line="240" w:lineRule="auto"/>
        <w:jc w:val="both"/>
        <w:rPr>
          <w:rFonts w:ascii="Calibri" w:hAnsi="Calibri" w:cs="Calibri"/>
          <w:sz w:val="22"/>
          <w:szCs w:val="22"/>
        </w:rPr>
      </w:pPr>
      <w:r w:rsidRPr="00B14F48">
        <w:rPr>
          <w:rFonts w:ascii="Calibri" w:hAnsi="Calibri" w:cs="Calibri"/>
          <w:sz w:val="22"/>
          <w:szCs w:val="22"/>
        </w:rPr>
        <w:t xml:space="preserve">Members discussed risks associated with the student recruitment environment that included, but was not limited to, the mounting negative rhetoric and policy reforms by the UK Government dissuading students from coming to the UK.  Members also discussed opportunities that included transnational education partnership activity that showed strong potential for </w:t>
      </w:r>
      <w:r w:rsidRPr="00B14F48" w:rsidR="00D97DC3">
        <w:rPr>
          <w:rFonts w:ascii="Calibri" w:hAnsi="Calibri" w:cs="Calibri"/>
          <w:sz w:val="22"/>
          <w:szCs w:val="22"/>
        </w:rPr>
        <w:t>growth and</w:t>
      </w:r>
      <w:r w:rsidRPr="00B14F48">
        <w:rPr>
          <w:rFonts w:ascii="Calibri" w:hAnsi="Calibri" w:cs="Calibri"/>
          <w:sz w:val="22"/>
          <w:szCs w:val="22"/>
        </w:rPr>
        <w:t xml:space="preserve"> offered a strategic avenue to diversify and expand international engagement.</w:t>
      </w:r>
    </w:p>
    <w:p w:rsidRPr="00B14F48" w:rsidR="00BE27F9" w:rsidP="00B14F48" w:rsidRDefault="002A34E6" w14:paraId="5E3886A4" w14:textId="77777777">
      <w:pPr>
        <w:spacing w:after="0" w:line="240" w:lineRule="auto"/>
        <w:ind w:left="709"/>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3B47A38B" w14:textId="79F54B7A">
      <w:pPr>
        <w:spacing w:after="0" w:line="240" w:lineRule="auto"/>
        <w:jc w:val="both"/>
        <w:rPr>
          <w:rFonts w:ascii="Calibri" w:hAnsi="Calibri" w:cs="Calibri"/>
          <w:sz w:val="22"/>
          <w:szCs w:val="22"/>
        </w:rPr>
      </w:pPr>
      <w:r w:rsidRPr="00B14F48">
        <w:rPr>
          <w:rFonts w:ascii="Calibri" w:hAnsi="Calibri" w:cs="Calibri"/>
          <w:sz w:val="22"/>
          <w:szCs w:val="22"/>
        </w:rPr>
        <w:t xml:space="preserve">Court considered Key Performance Indicators associated with the institutional Strategic Plan and discussed the contextual narrative of the current position, next steps and the associated risk.  Members discussed in particular </w:t>
      </w:r>
      <w:r w:rsidR="00565734">
        <w:rPr>
          <w:rFonts w:ascii="Calibri" w:hAnsi="Calibri" w:cs="Calibri"/>
          <w:sz w:val="22"/>
          <w:szCs w:val="22"/>
        </w:rPr>
        <w:t xml:space="preserve">the </w:t>
      </w:r>
      <w:r w:rsidRPr="00B14F48">
        <w:rPr>
          <w:rFonts w:ascii="Calibri" w:hAnsi="Calibri" w:cs="Calibri"/>
          <w:sz w:val="22"/>
          <w:szCs w:val="22"/>
        </w:rPr>
        <w:t xml:space="preserve">National Student Satisfaction and Skilled Graduate Outcome performance results.  It was confirmed that, through the Student Education and Experience Strategy, action was being taken to improve performance across these </w:t>
      </w:r>
      <w:r w:rsidRPr="00B14F48" w:rsidR="00AF7C3C">
        <w:rPr>
          <w:rFonts w:ascii="Calibri" w:hAnsi="Calibri" w:cs="Calibri"/>
          <w:sz w:val="22"/>
          <w:szCs w:val="22"/>
        </w:rPr>
        <w:t>areas and</w:t>
      </w:r>
      <w:r w:rsidRPr="00B14F48">
        <w:rPr>
          <w:rFonts w:ascii="Calibri" w:hAnsi="Calibri" w:cs="Calibri"/>
          <w:sz w:val="22"/>
          <w:szCs w:val="22"/>
        </w:rPr>
        <w:t xml:space="preserve"> included</w:t>
      </w:r>
      <w:r w:rsidR="00B6785C">
        <w:rPr>
          <w:rFonts w:ascii="Calibri" w:hAnsi="Calibri" w:cs="Calibri"/>
          <w:sz w:val="22"/>
          <w:szCs w:val="22"/>
        </w:rPr>
        <w:t xml:space="preserve"> activity </w:t>
      </w:r>
      <w:r w:rsidRPr="00B14F48">
        <w:rPr>
          <w:rFonts w:ascii="Calibri" w:hAnsi="Calibri" w:cs="Calibri"/>
          <w:sz w:val="22"/>
          <w:szCs w:val="22"/>
        </w:rPr>
        <w:t>led by the Curriculum Transformation Group to further prepare our students for the graduate market.  </w:t>
      </w:r>
    </w:p>
    <w:p w:rsidRPr="00B14F48" w:rsidR="00BE27F9" w:rsidP="00B14F48" w:rsidRDefault="002A34E6" w14:paraId="4ECEB114"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B696AA5" w14:textId="75A16C4A">
      <w:pPr>
        <w:spacing w:after="0" w:line="240" w:lineRule="auto"/>
        <w:jc w:val="both"/>
        <w:rPr>
          <w:rFonts w:ascii="Calibri" w:hAnsi="Calibri" w:cs="Calibri"/>
          <w:sz w:val="22"/>
          <w:szCs w:val="22"/>
        </w:rPr>
      </w:pPr>
      <w:r w:rsidRPr="050A602E">
        <w:rPr>
          <w:rFonts w:ascii="Calibri" w:hAnsi="Calibri" w:cs="Calibri"/>
          <w:sz w:val="22"/>
          <w:szCs w:val="22"/>
        </w:rPr>
        <w:t xml:space="preserve">It was </w:t>
      </w:r>
      <w:r w:rsidRPr="050A602E" w:rsidR="561B4B1D">
        <w:rPr>
          <w:rFonts w:ascii="Calibri" w:hAnsi="Calibri" w:cs="Calibri"/>
          <w:sz w:val="22"/>
          <w:szCs w:val="22"/>
        </w:rPr>
        <w:t>noted</w:t>
      </w:r>
      <w:r w:rsidRPr="050A602E">
        <w:rPr>
          <w:rFonts w:ascii="Calibri" w:hAnsi="Calibri" w:cs="Calibri"/>
          <w:sz w:val="22"/>
          <w:szCs w:val="22"/>
        </w:rPr>
        <w:t xml:space="preserve"> that, in the event performance significantly deviated from target or had significantly declined, a summary of planned action</w:t>
      </w:r>
      <w:r w:rsidRPr="050A602E" w:rsidR="11A3814F">
        <w:rPr>
          <w:rFonts w:ascii="Calibri" w:hAnsi="Calibri" w:cs="Calibri"/>
          <w:sz w:val="22"/>
          <w:szCs w:val="22"/>
        </w:rPr>
        <w:t>s</w:t>
      </w:r>
      <w:r w:rsidRPr="050A602E">
        <w:rPr>
          <w:rFonts w:ascii="Calibri" w:hAnsi="Calibri" w:cs="Calibri"/>
          <w:sz w:val="22"/>
          <w:szCs w:val="22"/>
        </w:rPr>
        <w:t xml:space="preserve"> would be </w:t>
      </w:r>
      <w:r w:rsidRPr="050A602E" w:rsidR="0BC7DEC0">
        <w:rPr>
          <w:rFonts w:ascii="Calibri" w:hAnsi="Calibri" w:cs="Calibri"/>
          <w:sz w:val="22"/>
          <w:szCs w:val="22"/>
        </w:rPr>
        <w:t>included in</w:t>
      </w:r>
      <w:r w:rsidRPr="050A602E">
        <w:rPr>
          <w:rFonts w:ascii="Calibri" w:hAnsi="Calibri" w:cs="Calibri"/>
          <w:sz w:val="22"/>
          <w:szCs w:val="22"/>
        </w:rPr>
        <w:t xml:space="preserve"> the quarterly performance report </w:t>
      </w:r>
      <w:r w:rsidRPr="050A602E" w:rsidR="50D1BB14">
        <w:rPr>
          <w:rFonts w:ascii="Calibri" w:hAnsi="Calibri" w:cs="Calibri"/>
          <w:sz w:val="22"/>
          <w:szCs w:val="22"/>
        </w:rPr>
        <w:t>commentary</w:t>
      </w:r>
      <w:r w:rsidRPr="050A602E">
        <w:rPr>
          <w:rFonts w:ascii="Calibri" w:hAnsi="Calibri" w:cs="Calibri"/>
          <w:sz w:val="22"/>
          <w:szCs w:val="22"/>
        </w:rPr>
        <w:t>.  </w:t>
      </w:r>
    </w:p>
    <w:p w:rsidRPr="00B14F48" w:rsidR="00BE27F9" w:rsidP="00B14F48" w:rsidRDefault="002A34E6" w14:paraId="11BEF0D3" w14:textId="77777777">
      <w:pPr>
        <w:spacing w:after="0" w:line="240" w:lineRule="auto"/>
        <w:jc w:val="right"/>
        <w:rPr>
          <w:rFonts w:ascii="Calibri" w:hAnsi="Calibri" w:cs="Calibri"/>
          <w:sz w:val="22"/>
          <w:szCs w:val="22"/>
        </w:rPr>
      </w:pPr>
      <w:r w:rsidRPr="00B14F48">
        <w:rPr>
          <w:rFonts w:ascii="Calibri" w:hAnsi="Calibri" w:cs="Calibri"/>
          <w:b/>
          <w:sz w:val="22"/>
          <w:szCs w:val="22"/>
        </w:rPr>
        <w:t>[ACTION: Chief Operating Officer and University Secretary] </w:t>
      </w:r>
    </w:p>
    <w:p w:rsidRPr="00B14F48" w:rsidR="00BE27F9" w:rsidP="00B14F48" w:rsidRDefault="002A34E6" w14:paraId="0D8BF348"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63A41648" w14:textId="54727E9D">
      <w:pPr>
        <w:spacing w:after="0" w:line="240" w:lineRule="auto"/>
        <w:jc w:val="both"/>
        <w:rPr>
          <w:rFonts w:ascii="Calibri" w:hAnsi="Calibri" w:cs="Calibri"/>
          <w:sz w:val="22"/>
          <w:szCs w:val="22"/>
        </w:rPr>
      </w:pPr>
      <w:r w:rsidRPr="3D13DDAF">
        <w:rPr>
          <w:rFonts w:ascii="Calibri" w:hAnsi="Calibri" w:cs="Calibri"/>
          <w:sz w:val="22"/>
          <w:szCs w:val="22"/>
        </w:rPr>
        <w:t xml:space="preserve">Members discussed the health and wellbeing of employees, and in particular sources of information used to evaluate risk associated with levels of </w:t>
      </w:r>
      <w:r w:rsidRPr="3D13DDAF" w:rsidR="2FD0036F">
        <w:rPr>
          <w:rFonts w:ascii="Calibri" w:hAnsi="Calibri" w:cs="Calibri"/>
          <w:sz w:val="22"/>
          <w:szCs w:val="22"/>
        </w:rPr>
        <w:t>work related</w:t>
      </w:r>
      <w:r w:rsidRPr="3D13DDAF">
        <w:rPr>
          <w:rFonts w:ascii="Calibri" w:hAnsi="Calibri" w:cs="Calibri"/>
          <w:sz w:val="22"/>
          <w:szCs w:val="22"/>
        </w:rPr>
        <w:t xml:space="preserve"> stress as set out in the University's Stress Policy.  Members discussed the level of staff satisfaction</w:t>
      </w:r>
      <w:r w:rsidR="00F80FF4">
        <w:rPr>
          <w:rFonts w:ascii="Calibri" w:hAnsi="Calibri" w:cs="Calibri"/>
          <w:sz w:val="22"/>
          <w:szCs w:val="22"/>
        </w:rPr>
        <w:t xml:space="preserve"> </w:t>
      </w:r>
      <w:r w:rsidRPr="3D13DDAF">
        <w:rPr>
          <w:rFonts w:ascii="Calibri" w:hAnsi="Calibri" w:cs="Calibri"/>
          <w:sz w:val="22"/>
          <w:szCs w:val="22"/>
        </w:rPr>
        <w:t xml:space="preserve">and the approach undertaken by the University to oversee the level of staff absence and attendance at work.  It was noted that stress surveys had been conducted by </w:t>
      </w:r>
      <w:r w:rsidRPr="00C8155E">
        <w:rPr>
          <w:rFonts w:ascii="Calibri" w:hAnsi="Calibri" w:cs="Calibri"/>
          <w:sz w:val="22"/>
          <w:szCs w:val="22"/>
        </w:rPr>
        <w:t>the University and College Union (UCU) and Unison.  It was</w:t>
      </w:r>
      <w:r w:rsidRPr="3D13DDAF">
        <w:rPr>
          <w:rFonts w:ascii="Calibri" w:hAnsi="Calibri" w:cs="Calibri"/>
          <w:sz w:val="22"/>
          <w:szCs w:val="22"/>
        </w:rPr>
        <w:t xml:space="preserve"> confirmed that management awaited </w:t>
      </w:r>
      <w:r w:rsidR="002A0E50">
        <w:rPr>
          <w:rFonts w:ascii="Calibri" w:hAnsi="Calibri" w:cs="Calibri"/>
          <w:sz w:val="22"/>
          <w:szCs w:val="22"/>
        </w:rPr>
        <w:t xml:space="preserve">further detail </w:t>
      </w:r>
      <w:r w:rsidR="00E43FB7">
        <w:rPr>
          <w:rFonts w:ascii="Calibri" w:hAnsi="Calibri" w:cs="Calibri"/>
          <w:sz w:val="22"/>
          <w:szCs w:val="22"/>
        </w:rPr>
        <w:t xml:space="preserve">that </w:t>
      </w:r>
      <w:r w:rsidR="00903573">
        <w:rPr>
          <w:rFonts w:ascii="Calibri" w:hAnsi="Calibri" w:cs="Calibri"/>
          <w:sz w:val="22"/>
          <w:szCs w:val="22"/>
        </w:rPr>
        <w:t xml:space="preserve">related </w:t>
      </w:r>
      <w:r w:rsidR="007C7931">
        <w:rPr>
          <w:rFonts w:ascii="Calibri" w:hAnsi="Calibri" w:cs="Calibri"/>
          <w:sz w:val="22"/>
          <w:szCs w:val="22"/>
        </w:rPr>
        <w:t xml:space="preserve">to the findings </w:t>
      </w:r>
      <w:r w:rsidRPr="3D13DDAF">
        <w:rPr>
          <w:rFonts w:ascii="Calibri" w:hAnsi="Calibri" w:cs="Calibri"/>
          <w:sz w:val="22"/>
          <w:szCs w:val="22"/>
        </w:rPr>
        <w:t>from the survey</w:t>
      </w:r>
      <w:r w:rsidR="00BD43C9">
        <w:rPr>
          <w:rFonts w:ascii="Calibri" w:hAnsi="Calibri" w:cs="Calibri"/>
          <w:sz w:val="22"/>
          <w:szCs w:val="22"/>
        </w:rPr>
        <w:t>s</w:t>
      </w:r>
      <w:r w:rsidRPr="3D13DDAF">
        <w:rPr>
          <w:rFonts w:ascii="Calibri" w:hAnsi="Calibri" w:cs="Calibri"/>
          <w:sz w:val="22"/>
          <w:szCs w:val="22"/>
        </w:rPr>
        <w:t xml:space="preserve"> and that the reports would be considered when made available </w:t>
      </w:r>
      <w:r w:rsidRPr="00952E58">
        <w:rPr>
          <w:rFonts w:ascii="Calibri" w:hAnsi="Calibri" w:cs="Calibri"/>
          <w:sz w:val="22"/>
          <w:szCs w:val="22"/>
        </w:rPr>
        <w:t>by UCU and Unison.</w:t>
      </w:r>
      <w:r w:rsidRPr="00B14F48">
        <w:rPr>
          <w:rFonts w:ascii="Calibri" w:hAnsi="Calibri" w:cs="Calibri"/>
          <w:sz w:val="22"/>
          <w:szCs w:val="22"/>
        </w:rPr>
        <w:t xml:space="preserve">   </w:t>
      </w:r>
    </w:p>
    <w:p w:rsidRPr="00B14F48" w:rsidR="00BE27F9" w:rsidP="00B14F48" w:rsidRDefault="002A34E6" w14:paraId="5EDB29A5"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505294E4"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considered</w:t>
      </w:r>
      <w:r w:rsidRPr="00B14F48">
        <w:rPr>
          <w:rFonts w:ascii="Calibri" w:hAnsi="Calibri" w:cs="Calibri"/>
          <w:sz w:val="22"/>
          <w:szCs w:val="22"/>
        </w:rPr>
        <w:t xml:space="preserve"> and </w:t>
      </w:r>
      <w:r w:rsidRPr="00B14F48">
        <w:rPr>
          <w:rFonts w:ascii="Calibri" w:hAnsi="Calibri" w:cs="Calibri"/>
          <w:sz w:val="22"/>
          <w:szCs w:val="22"/>
          <w:u w:val="single"/>
        </w:rPr>
        <w:t>approved</w:t>
      </w:r>
      <w:r w:rsidRPr="00B14F48">
        <w:rPr>
          <w:rFonts w:ascii="Calibri" w:hAnsi="Calibri" w:cs="Calibri"/>
          <w:sz w:val="22"/>
          <w:szCs w:val="22"/>
        </w:rPr>
        <w:t xml:space="preserve"> the Quarterly Performance Report. </w:t>
      </w:r>
    </w:p>
    <w:p w:rsidRPr="00B14F48" w:rsidR="00BE27F9" w:rsidP="00B14F48" w:rsidRDefault="002A34E6" w14:paraId="44CD973C" w14:textId="77777777">
      <w:pPr>
        <w:spacing w:before="120" w:line="240" w:lineRule="auto"/>
        <w:rPr>
          <w:rFonts w:ascii="Calibri" w:hAnsi="Calibri" w:cs="Calibri"/>
          <w:b/>
          <w:bCs/>
          <w:sz w:val="22"/>
          <w:szCs w:val="22"/>
        </w:rPr>
      </w:pPr>
      <w:r w:rsidRPr="00B14F48">
        <w:rPr>
          <w:rFonts w:ascii="Calibri" w:hAnsi="Calibri" w:cs="Calibri"/>
          <w:b/>
          <w:bCs/>
          <w:sz w:val="22"/>
          <w:szCs w:val="22"/>
        </w:rPr>
        <w:t>COLLABORATION</w:t>
      </w:r>
    </w:p>
    <w:p w:rsidRPr="00B14F48" w:rsidR="00BE27F9" w:rsidP="001F4436" w:rsidRDefault="002A34E6" w14:paraId="395F9D5A"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8. City Region and Growth Deal</w:t>
      </w:r>
    </w:p>
    <w:p w:rsidRPr="00B14F48" w:rsidR="00BE27F9" w:rsidP="00B14F48" w:rsidRDefault="002A34E6" w14:paraId="2CB83BC8" w14:textId="74608F03">
      <w:pPr>
        <w:spacing w:after="0" w:line="240" w:lineRule="auto"/>
        <w:jc w:val="both"/>
        <w:rPr>
          <w:rFonts w:ascii="Calibri" w:hAnsi="Calibri" w:cs="Calibri"/>
          <w:sz w:val="22"/>
          <w:szCs w:val="22"/>
        </w:rPr>
      </w:pPr>
      <w:r w:rsidRPr="00B14F48">
        <w:rPr>
          <w:rFonts w:ascii="Calibri" w:hAnsi="Calibri" w:cs="Calibri"/>
          <w:sz w:val="22"/>
          <w:szCs w:val="22"/>
        </w:rPr>
        <w:t xml:space="preserve">Court received a report on the University’s programme of City Region and Growth Deal projects, that included a progress update on </w:t>
      </w:r>
      <w:r w:rsidRPr="1D334D64" w:rsidR="00D232A1">
        <w:rPr>
          <w:rFonts w:ascii="Calibri" w:hAnsi="Calibri" w:cs="Calibri"/>
          <w:sz w:val="22"/>
          <w:szCs w:val="22"/>
        </w:rPr>
        <w:t>Scotland’s</w:t>
      </w:r>
      <w:r w:rsidRPr="00B14F48">
        <w:rPr>
          <w:rFonts w:ascii="Calibri" w:hAnsi="Calibri" w:cs="Calibri"/>
          <w:sz w:val="22"/>
          <w:szCs w:val="22"/>
        </w:rPr>
        <w:t xml:space="preserve"> International Environment Centre (SIEC), the National Aquaculture Technology and Innovation Hub (NATIH), the Alloa Innovation Campus and the Machrihanish Innovation Campus (MIC).  </w:t>
      </w:r>
    </w:p>
    <w:p w:rsidRPr="00B14F48" w:rsidR="00BE27F9" w:rsidP="00B14F48" w:rsidRDefault="002A34E6" w14:paraId="4474F8A0"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A7E08DC" w14:textId="77777777">
      <w:pPr>
        <w:spacing w:after="0" w:line="240" w:lineRule="auto"/>
        <w:jc w:val="both"/>
        <w:rPr>
          <w:rFonts w:ascii="Calibri" w:hAnsi="Calibri" w:cs="Calibri"/>
          <w:sz w:val="22"/>
          <w:szCs w:val="22"/>
        </w:rPr>
      </w:pPr>
      <w:r w:rsidRPr="00B14F48">
        <w:rPr>
          <w:rFonts w:ascii="Calibri" w:hAnsi="Calibri" w:cs="Calibri"/>
          <w:sz w:val="22"/>
          <w:szCs w:val="22"/>
        </w:rPr>
        <w:t>It was confirmed that City Region and Growth Deals continued to operate within a challenging financial environment, with both the UK and Scottish Governments maintaining a strong focus on fiscal constraints.  It was confirmed that, as the Deal is in its second five-year funding period, aligning forecast expenditure with available resources had become increasingly difficult for all partners, both in terms of timing and overall funding availability.  It was confirmed that both governments were open to extending the funding period beyond year ten to support delivery, however no additional funding would be provided.  It was confirmed that an interim review with both UK and Scottish Governments was expected to take place in November 2025.    </w:t>
      </w:r>
    </w:p>
    <w:p w:rsidRPr="00B14F48" w:rsidR="00BE27F9" w:rsidP="00B14F48" w:rsidRDefault="002A34E6" w14:paraId="5E6F60B5" w14:textId="77777777">
      <w:pPr>
        <w:spacing w:after="0" w:line="240" w:lineRule="auto"/>
        <w:ind w:left="644"/>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322452FC" w14:textId="77777777">
      <w:pPr>
        <w:spacing w:after="0" w:line="240" w:lineRule="auto"/>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update on the University’s programme of City Region and Growth Deal projects.  </w:t>
      </w:r>
    </w:p>
    <w:p w:rsidRPr="00B14F48" w:rsidR="00BE27F9" w:rsidP="00B14F48" w:rsidRDefault="002A34E6" w14:paraId="62CA5D08" w14:textId="77777777">
      <w:pPr>
        <w:spacing w:before="120" w:line="240" w:lineRule="auto"/>
        <w:rPr>
          <w:rFonts w:ascii="Calibri" w:hAnsi="Calibri" w:cs="Calibri"/>
          <w:b/>
          <w:bCs/>
          <w:sz w:val="22"/>
          <w:szCs w:val="22"/>
        </w:rPr>
      </w:pPr>
      <w:r w:rsidRPr="00B14F48">
        <w:rPr>
          <w:rFonts w:ascii="Calibri" w:hAnsi="Calibri" w:cs="Calibri"/>
          <w:b/>
          <w:bCs/>
          <w:sz w:val="22"/>
          <w:szCs w:val="22"/>
        </w:rPr>
        <w:t>GOVERNANCE AND POLICY</w:t>
      </w:r>
    </w:p>
    <w:p w:rsidRPr="00B14F48" w:rsidR="00BE27F9" w:rsidP="001F4436" w:rsidRDefault="002A34E6" w14:paraId="2ECFF7C4"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9. Amendment to Ordinance 69 to Reflect Changes to Faculty Organisation</w:t>
      </w:r>
    </w:p>
    <w:p w:rsidRPr="00B14F48" w:rsidR="00BE27F9" w:rsidP="00B14F48" w:rsidRDefault="002A34E6" w14:paraId="0A044DEE" w14:textId="5DD0C3DA">
      <w:pPr>
        <w:spacing w:after="0" w:line="240" w:lineRule="auto"/>
        <w:jc w:val="both"/>
        <w:rPr>
          <w:rFonts w:ascii="Calibri" w:hAnsi="Calibri" w:cs="Calibri"/>
          <w:sz w:val="22"/>
          <w:szCs w:val="22"/>
        </w:rPr>
      </w:pPr>
      <w:r w:rsidRPr="00B14F48">
        <w:rPr>
          <w:rFonts w:ascii="Calibri" w:hAnsi="Calibri" w:cs="Calibri"/>
          <w:sz w:val="22"/>
          <w:szCs w:val="22"/>
        </w:rPr>
        <w:t xml:space="preserve">Court received a report that provided an overview of the first stage of consultation on the academic organisation of the University that related to the number and naming of Faculties.   It was confirmed that the proposal followed a </w:t>
      </w:r>
      <w:r w:rsidRPr="00B14F48" w:rsidR="00D1377A">
        <w:rPr>
          <w:rFonts w:ascii="Calibri" w:hAnsi="Calibri" w:cs="Calibri"/>
          <w:sz w:val="22"/>
          <w:szCs w:val="22"/>
        </w:rPr>
        <w:t>wide</w:t>
      </w:r>
      <w:r w:rsidR="00D1377A">
        <w:rPr>
          <w:rFonts w:ascii="Calibri" w:hAnsi="Calibri" w:cs="Calibri"/>
          <w:sz w:val="22"/>
          <w:szCs w:val="22"/>
        </w:rPr>
        <w:t xml:space="preserve"> </w:t>
      </w:r>
      <w:r w:rsidRPr="00B14F48" w:rsidR="00D1377A">
        <w:rPr>
          <w:rFonts w:ascii="Calibri" w:hAnsi="Calibri" w:cs="Calibri"/>
          <w:sz w:val="22"/>
          <w:szCs w:val="22"/>
        </w:rPr>
        <w:t>ranging</w:t>
      </w:r>
      <w:r w:rsidRPr="00B14F48">
        <w:rPr>
          <w:rFonts w:ascii="Calibri" w:hAnsi="Calibri" w:cs="Calibri"/>
          <w:sz w:val="22"/>
          <w:szCs w:val="22"/>
        </w:rPr>
        <w:t xml:space="preserve"> dialogue with staff across the University and that an amendment to Ordinance 69 was required to reflect the proposed changes to the organisation of the Faculties. </w:t>
      </w:r>
    </w:p>
    <w:p w:rsidRPr="00B14F48" w:rsidR="00BE27F9" w:rsidP="00B14F48" w:rsidRDefault="002A34E6" w14:paraId="1D5BCD6B" w14:textId="540BFBD6">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7A2C8267" w14:textId="6AC91290">
      <w:pPr>
        <w:spacing w:after="0" w:line="240" w:lineRule="auto"/>
        <w:jc w:val="both"/>
        <w:rPr>
          <w:rFonts w:ascii="Calibri" w:hAnsi="Calibri" w:cs="Calibri"/>
          <w:sz w:val="22"/>
          <w:szCs w:val="22"/>
        </w:rPr>
      </w:pPr>
      <w:r w:rsidRPr="00B14F48">
        <w:rPr>
          <w:rFonts w:ascii="Calibri" w:hAnsi="Calibri" w:cs="Calibri"/>
          <w:sz w:val="22"/>
          <w:szCs w:val="22"/>
        </w:rPr>
        <w:t>It was confirmed that the proposed amendment to Ordinance 69, to remove reference to specific Faculty names, was intended to reduce the frequency of revisions to the Ordinance required due to the renaming of Faculties.  It was confirmed that approval of any change to the University's academic organisation, that included the number of and naming of Faculties, would remain a reserved matter for University Court and that proposals considered for approval would continue to be on the recommendation of Academic Council.  Student representation on Faculty committees would continue to be guided by the Student Partnership agreement.   </w:t>
      </w:r>
    </w:p>
    <w:p w:rsidRPr="00B14F48" w:rsidR="00BE27F9" w:rsidP="00B14F48" w:rsidRDefault="002A34E6" w14:paraId="3BC5EC03"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4EC38524" w14:textId="77777777">
      <w:pPr>
        <w:spacing w:after="0" w:line="240" w:lineRule="auto"/>
        <w:jc w:val="both"/>
        <w:rPr>
          <w:rFonts w:ascii="Calibri" w:hAnsi="Calibri" w:cs="Calibri"/>
          <w:sz w:val="22"/>
          <w:szCs w:val="22"/>
        </w:rPr>
      </w:pPr>
      <w:r w:rsidRPr="00B14F48">
        <w:rPr>
          <w:rFonts w:ascii="Calibri" w:hAnsi="Calibri" w:cs="Calibri"/>
          <w:sz w:val="22"/>
          <w:szCs w:val="22"/>
        </w:rPr>
        <w:t>Court discussed the proposed change to the number and naming of Faculties with due consideration of the rationale, the consultation and dialogue undertaken with academic staff, professional services staff, trade unions, and the risks and opportunities.  It was confirmed that the proposed organisation of the University's Faculties was structured to enable sustainability, growth and greater operational consistency and efficiency.  It was confirmed that the proposal was based on the option the majority of staff were content with, and that the proposal had been considered and endorsed by Academic Council.  </w:t>
      </w:r>
    </w:p>
    <w:p w:rsidRPr="00B14F48" w:rsidR="00BE27F9" w:rsidP="00B14F48" w:rsidRDefault="002A34E6" w14:paraId="3751300F"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5A56367" w14:textId="202442D4">
      <w:pPr>
        <w:spacing w:after="0" w:line="240" w:lineRule="auto"/>
        <w:jc w:val="both"/>
        <w:rPr>
          <w:rFonts w:ascii="Calibri" w:hAnsi="Calibri" w:cs="Calibri"/>
          <w:sz w:val="22"/>
          <w:szCs w:val="22"/>
        </w:rPr>
      </w:pPr>
      <w:r w:rsidRPr="050A602E">
        <w:rPr>
          <w:rFonts w:ascii="Calibri" w:hAnsi="Calibri" w:cs="Calibri"/>
          <w:sz w:val="22"/>
          <w:szCs w:val="22"/>
        </w:rPr>
        <w:t>Court noted that the Students' Union representatives w</w:t>
      </w:r>
      <w:r w:rsidRPr="050A602E" w:rsidR="00FE3C79">
        <w:rPr>
          <w:rFonts w:ascii="Calibri" w:hAnsi="Calibri" w:cs="Calibri"/>
          <w:sz w:val="22"/>
          <w:szCs w:val="22"/>
        </w:rPr>
        <w:t>ere</w:t>
      </w:r>
      <w:r w:rsidRPr="050A602E">
        <w:rPr>
          <w:rFonts w:ascii="Calibri" w:hAnsi="Calibri" w:cs="Calibri"/>
          <w:sz w:val="22"/>
          <w:szCs w:val="22"/>
        </w:rPr>
        <w:t xml:space="preserve"> unable to support the recommendation due to the level of engagement with student representatives on the proposal during the first stage of the consultation. </w:t>
      </w:r>
    </w:p>
    <w:p w:rsidRPr="00B14F48" w:rsidR="00BE27F9" w:rsidP="00B14F48" w:rsidRDefault="002A34E6" w14:paraId="35F0889A"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2E50890B" w14:textId="77777777">
      <w:pPr>
        <w:spacing w:after="0" w:line="240" w:lineRule="auto"/>
        <w:jc w:val="both"/>
        <w:rPr>
          <w:rFonts w:ascii="Calibri" w:hAnsi="Calibri" w:cs="Calibri"/>
          <w:sz w:val="22"/>
          <w:szCs w:val="22"/>
        </w:rPr>
      </w:pPr>
      <w:r w:rsidRPr="00B14F48">
        <w:rPr>
          <w:rFonts w:ascii="Calibri" w:hAnsi="Calibri" w:cs="Calibri"/>
          <w:sz w:val="22"/>
          <w:szCs w:val="22"/>
        </w:rPr>
        <w:t>It was confirmed that the first stage of consultation related only to the number and suggested names of Faculties and that a second stage of consultation on the number and constitution of Schools (formerly Divisions) was being undertaken.  It was confirmed that the second stage of consultation provided a further opportunity for discussion with student representatives in particular on the proposals, with no impact being anticipated for the student body.  It was confirmed that following the consultation phase, implementation plans would be developed to manage and support the change process.  </w:t>
      </w:r>
    </w:p>
    <w:p w:rsidRPr="00B14F48" w:rsidR="00BE27F9" w:rsidP="00B14F48" w:rsidRDefault="002A34E6" w14:paraId="2D6473E8" w14:textId="62809D0E">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1C0EA0C" w14:textId="77777777">
      <w:pPr>
        <w:spacing w:after="0" w:line="240" w:lineRule="auto"/>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approved</w:t>
      </w:r>
      <w:r w:rsidRPr="00B14F48">
        <w:rPr>
          <w:rFonts w:ascii="Calibri" w:hAnsi="Calibri" w:cs="Calibri"/>
          <w:sz w:val="22"/>
          <w:szCs w:val="22"/>
        </w:rPr>
        <w:t xml:space="preserve"> an amendment to Ordinance 69 and the establishment of four academic units: three faculties and the Stirling Business School.  </w:t>
      </w:r>
    </w:p>
    <w:p w:rsidRPr="00B14F48" w:rsidR="00BE27F9" w:rsidP="00B14F48" w:rsidRDefault="002A34E6" w14:paraId="1BBA5C34" w14:textId="77777777">
      <w:pPr>
        <w:spacing w:before="120" w:line="240" w:lineRule="auto"/>
        <w:rPr>
          <w:rFonts w:ascii="Calibri" w:hAnsi="Calibri" w:cs="Calibri"/>
          <w:b/>
          <w:bCs/>
          <w:sz w:val="22"/>
          <w:szCs w:val="22"/>
        </w:rPr>
      </w:pPr>
      <w:r w:rsidRPr="00B14F48">
        <w:rPr>
          <w:rFonts w:ascii="Calibri" w:hAnsi="Calibri" w:cs="Calibri"/>
          <w:b/>
          <w:bCs/>
          <w:sz w:val="22"/>
          <w:szCs w:val="22"/>
        </w:rPr>
        <w:t>10. Gilles Report and SFC Expectations of Good Governance</w:t>
      </w:r>
    </w:p>
    <w:p w:rsidRPr="00B14F48" w:rsidR="00BE27F9" w:rsidP="00B14F48" w:rsidRDefault="002A34E6" w14:paraId="76169740"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 presentation on the findings from the Gilles Report and its implications.  Additionally, Court received a paper that provided a briefing of the lessons that may be beneficial for the wider Higher Education sector in Scotland as set out in the Gillies Report and the SFC’s expectations.  </w:t>
      </w:r>
    </w:p>
    <w:p w:rsidRPr="00B14F48" w:rsidR="00BE27F9" w:rsidP="00B14F48" w:rsidRDefault="002A34E6" w14:paraId="696D69FC"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2EBC5B3F" w14:textId="473E65E1">
      <w:pPr>
        <w:spacing w:after="0" w:line="240" w:lineRule="auto"/>
        <w:jc w:val="both"/>
        <w:rPr>
          <w:rFonts w:ascii="Calibri" w:hAnsi="Calibri" w:cs="Calibri"/>
          <w:sz w:val="22"/>
          <w:szCs w:val="22"/>
        </w:rPr>
      </w:pPr>
      <w:r w:rsidRPr="00B14F48">
        <w:rPr>
          <w:rFonts w:ascii="Calibri" w:hAnsi="Calibri" w:cs="Calibri"/>
          <w:sz w:val="22"/>
          <w:szCs w:val="22"/>
        </w:rPr>
        <w:t>Court discussed an evaluation of the University of Stirling’s position against the lessons, expectations and proposed actions set out in the report.  Members discussed in particular the structure of the University's governance committees, the oversight of risk management, leadership and culture.  </w:t>
      </w:r>
      <w:r w:rsidRPr="00B14F48" w:rsidR="00EA44C9">
        <w:rPr>
          <w:rFonts w:ascii="Calibri" w:hAnsi="Calibri" w:cs="Calibri"/>
          <w:sz w:val="22"/>
          <w:szCs w:val="22"/>
        </w:rPr>
        <w:t>Regarding</w:t>
      </w:r>
      <w:r w:rsidRPr="00B14F48">
        <w:rPr>
          <w:rFonts w:ascii="Calibri" w:hAnsi="Calibri" w:cs="Calibri"/>
          <w:sz w:val="22"/>
          <w:szCs w:val="22"/>
        </w:rPr>
        <w:t xml:space="preserve"> discussion on the evaluation of the University's leadership and culture, members highlighted recent findings from an external review of governance effectiveness and regular activity undertaken by auditors as examples of external sources that provided Court with additional insight into the culture of University, and demonstrated that it was supportive of collaborative decision making and fostered challenge and debate.   </w:t>
      </w:r>
    </w:p>
    <w:p w:rsidRPr="00B14F48" w:rsidR="00BE27F9" w:rsidP="00B14F48" w:rsidRDefault="002A34E6" w14:paraId="72302A59"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0720012B" w14:textId="77777777">
      <w:pPr>
        <w:spacing w:after="0" w:line="240" w:lineRule="auto"/>
        <w:jc w:val="both"/>
        <w:rPr>
          <w:rFonts w:ascii="Calibri" w:hAnsi="Calibri" w:cs="Calibri"/>
          <w:sz w:val="22"/>
          <w:szCs w:val="22"/>
        </w:rPr>
      </w:pPr>
      <w:r w:rsidRPr="00B14F48">
        <w:rPr>
          <w:rFonts w:ascii="Calibri" w:hAnsi="Calibri" w:cs="Calibri"/>
          <w:sz w:val="22"/>
          <w:szCs w:val="22"/>
        </w:rPr>
        <w:t>It was agreed that for future meeting of Court a standing item on governance would be placed on the agenda to provide members with an opportunity to raise any relevant matters for discussion as required. </w:t>
      </w:r>
    </w:p>
    <w:p w:rsidRPr="00B14F48" w:rsidR="00BE27F9" w:rsidP="00B14F48" w:rsidRDefault="002A34E6" w14:paraId="2AC33E1A" w14:textId="6C98D551">
      <w:pPr>
        <w:spacing w:after="0" w:line="240" w:lineRule="auto"/>
        <w:ind w:left="768"/>
        <w:jc w:val="both"/>
        <w:rPr>
          <w:rFonts w:ascii="Calibri" w:hAnsi="Calibri" w:cs="Calibri"/>
          <w:sz w:val="22"/>
          <w:szCs w:val="22"/>
        </w:rPr>
      </w:pPr>
      <w:r w:rsidRPr="00B14F48">
        <w:rPr>
          <w:rFonts w:ascii="Calibri" w:hAnsi="Calibri" w:cs="Calibri"/>
          <w:b/>
          <w:sz w:val="22"/>
          <w:szCs w:val="22"/>
        </w:rPr>
        <w:t>                                                                                                       [ACTION: Clerk of University Court]</w:t>
      </w:r>
    </w:p>
    <w:p w:rsidRPr="00B14F48" w:rsidR="00BE27F9" w:rsidP="00B14F48" w:rsidRDefault="002A34E6" w14:paraId="31CBAF0D" w14:textId="77777777">
      <w:pPr>
        <w:spacing w:after="0" w:line="240" w:lineRule="auto"/>
        <w:ind w:left="709"/>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1A8AF410"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considered</w:t>
      </w:r>
      <w:r w:rsidRPr="00B14F48">
        <w:rPr>
          <w:rFonts w:ascii="Calibri" w:hAnsi="Calibri" w:cs="Calibri"/>
          <w:sz w:val="22"/>
          <w:szCs w:val="22"/>
        </w:rPr>
        <w:t xml:space="preserve"> the lessons that may be beneficial for the wider Higher Education sector in Scotland as set out in the Gillies Report, the SFC’s expectations, and an evaluation of the University of Stirling’s position against them.  </w:t>
      </w:r>
    </w:p>
    <w:p w:rsidRPr="00B14F48" w:rsidR="00BE27F9" w:rsidP="00784ED9" w:rsidRDefault="002A34E6" w14:paraId="379813DC"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11. Research Assurance and Accountability Return</w:t>
      </w:r>
    </w:p>
    <w:p w:rsidRPr="00B14F48" w:rsidR="00BE27F9" w:rsidP="00B14F48" w:rsidRDefault="002A34E6" w14:paraId="6136B1C4"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the Research Assurance and Accountability Return prepared in accordance with the guidance document provided by Scottish Funding Council (SFC).  It was confirmed that the Research Assurance and Accountability process was a key element for monitoring the Research Excellence expectation within the SFC Outcomes Framework and Assurance Model (OFAM).  </w:t>
      </w:r>
    </w:p>
    <w:p w:rsidRPr="00B14F48" w:rsidR="00BE27F9" w:rsidP="00B14F48" w:rsidRDefault="002A34E6" w14:paraId="4A7717C8"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24DD89C8"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approved</w:t>
      </w:r>
      <w:r w:rsidRPr="00B14F48">
        <w:rPr>
          <w:rFonts w:ascii="Calibri" w:hAnsi="Calibri" w:cs="Calibri"/>
          <w:sz w:val="22"/>
          <w:szCs w:val="22"/>
        </w:rPr>
        <w:t xml:space="preserve"> the Research Assurance and Accountability return for onward submission to the SFC. </w:t>
      </w:r>
    </w:p>
    <w:p w:rsidRPr="00B14F48" w:rsidR="00BE27F9" w:rsidP="00B14F48" w:rsidRDefault="002A34E6" w14:paraId="192D0625" w14:textId="77777777">
      <w:pPr>
        <w:spacing w:before="120" w:line="240" w:lineRule="auto"/>
        <w:rPr>
          <w:rFonts w:ascii="Calibri" w:hAnsi="Calibri" w:cs="Calibri"/>
          <w:b/>
          <w:bCs/>
          <w:sz w:val="22"/>
          <w:szCs w:val="22"/>
        </w:rPr>
      </w:pPr>
      <w:r w:rsidRPr="00B14F48">
        <w:rPr>
          <w:rFonts w:ascii="Calibri" w:hAnsi="Calibri" w:cs="Calibri"/>
          <w:b/>
          <w:bCs/>
          <w:sz w:val="22"/>
          <w:szCs w:val="22"/>
        </w:rPr>
        <w:t>ACTIVITY UPDATES</w:t>
      </w:r>
    </w:p>
    <w:p w:rsidRPr="00B14F48" w:rsidR="00BE27F9" w:rsidP="00784ED9" w:rsidRDefault="002A34E6" w14:paraId="3EA70B21"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12. Students' Union Update</w:t>
      </w:r>
    </w:p>
    <w:p w:rsidRPr="00B14F48" w:rsidR="00BE27F9" w:rsidP="00B14F48" w:rsidRDefault="002A34E6" w14:paraId="2D168C97"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an update on successes and developments from the Students’ Union and the student community that included coverage of sports clubs and membership, Welcome Week, a Reclaim the Night event to raise awareness and improve attitudes toward gender based violence, the development of University of Stirling Student Societies, democratic engagement in the Autumn elections, discussion to help students feel safer and more welcome on campus at the Equality Zone and attendance at StirPride.</w:t>
      </w:r>
    </w:p>
    <w:p w:rsidRPr="00B14F48" w:rsidR="00BE27F9" w:rsidP="00B14F48" w:rsidRDefault="002A34E6" w14:paraId="419A23A7"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4F284CD5"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update on activity from the Students’ Union. </w:t>
      </w:r>
    </w:p>
    <w:p w:rsidRPr="00B14F48" w:rsidR="00BE27F9" w:rsidP="00784ED9" w:rsidRDefault="002A34E6" w14:paraId="6C64001F"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13. Staff and Employment Update</w:t>
      </w:r>
    </w:p>
    <w:p w:rsidRPr="00B14F48" w:rsidR="00BE27F9" w:rsidP="00B14F48" w:rsidRDefault="002A34E6" w14:paraId="37864E02"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an update on Staff and Employment matters that included coverage of industrial relations, the Employment Rights Bill, provision of a new Occupational Health and Employee Assistance Programme and a summary the Voluntary Severance Scheme outcome.   </w:t>
      </w:r>
    </w:p>
    <w:p w:rsidRPr="00B14F48" w:rsidR="00BE27F9" w:rsidP="00B14F48" w:rsidRDefault="002A34E6" w14:paraId="74536B0D" w14:textId="77777777">
      <w:pPr>
        <w:spacing w:after="0" w:line="240" w:lineRule="auto"/>
        <w:ind w:left="720"/>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5855416C" w14:textId="77777777">
      <w:pPr>
        <w:spacing w:after="0" w:line="240" w:lineRule="auto"/>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update on matters relating to staff and employment.</w:t>
      </w:r>
    </w:p>
    <w:p w:rsidRPr="00B14F48" w:rsidR="00BE27F9" w:rsidP="00B14F48" w:rsidRDefault="002A34E6" w14:paraId="4668D883" w14:textId="77777777">
      <w:pPr>
        <w:spacing w:before="120" w:line="240" w:lineRule="auto"/>
        <w:rPr>
          <w:rFonts w:ascii="Calibri" w:hAnsi="Calibri" w:cs="Calibri"/>
          <w:b/>
          <w:bCs/>
          <w:sz w:val="22"/>
          <w:szCs w:val="22"/>
        </w:rPr>
      </w:pPr>
      <w:r w:rsidRPr="00B14F48">
        <w:rPr>
          <w:rFonts w:ascii="Calibri" w:hAnsi="Calibri" w:cs="Calibri"/>
          <w:b/>
          <w:bCs/>
          <w:sz w:val="22"/>
          <w:szCs w:val="22"/>
        </w:rPr>
        <w:t>COMMITTEE REPORTS</w:t>
      </w:r>
    </w:p>
    <w:p w:rsidRPr="00B14F48" w:rsidR="00BE27F9" w:rsidP="00784ED9" w:rsidRDefault="002A34E6" w14:paraId="4DAC0CAA"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14. Academic Council</w:t>
      </w:r>
    </w:p>
    <w:p w:rsidRPr="00B14F48" w:rsidR="00BE27F9" w:rsidP="00B14F48" w:rsidRDefault="002A34E6" w14:paraId="3650C847" w14:textId="425C6A0B">
      <w:pPr>
        <w:spacing w:after="0" w:line="240" w:lineRule="auto"/>
        <w:jc w:val="both"/>
        <w:rPr>
          <w:rFonts w:ascii="Calibri" w:hAnsi="Calibri" w:cs="Calibri"/>
          <w:sz w:val="22"/>
          <w:szCs w:val="22"/>
        </w:rPr>
      </w:pPr>
      <w:r w:rsidRPr="00B14F48">
        <w:rPr>
          <w:rFonts w:ascii="Calibri" w:hAnsi="Calibri" w:cs="Calibri"/>
          <w:sz w:val="22"/>
          <w:szCs w:val="22"/>
        </w:rPr>
        <w:t xml:space="preserve">Court received a report from Academic Council on its meeting held on </w:t>
      </w:r>
      <w:r w:rsidRPr="00B14F48" w:rsidR="00BE5DA2">
        <w:rPr>
          <w:rFonts w:ascii="Calibri" w:hAnsi="Calibri" w:cs="Calibri"/>
          <w:sz w:val="22"/>
          <w:szCs w:val="22"/>
        </w:rPr>
        <w:t>8 October 2025 and</w:t>
      </w:r>
      <w:r w:rsidRPr="00B14F48">
        <w:rPr>
          <w:rFonts w:ascii="Calibri" w:hAnsi="Calibri" w:cs="Calibri"/>
          <w:sz w:val="22"/>
          <w:szCs w:val="22"/>
        </w:rPr>
        <w:t xml:space="preserve"> received the Annual Report on Academic Council Effectiveness 2024/25. </w:t>
      </w:r>
    </w:p>
    <w:p w:rsidRPr="00B14F48" w:rsidR="00BE27F9" w:rsidP="00B14F48" w:rsidRDefault="002A34E6" w14:paraId="7D7A3EC8"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36F0D4F7"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considered</w:t>
      </w:r>
      <w:r w:rsidRPr="00B14F48">
        <w:rPr>
          <w:rFonts w:ascii="Calibri" w:hAnsi="Calibri" w:cs="Calibri"/>
          <w:sz w:val="22"/>
          <w:szCs w:val="22"/>
        </w:rPr>
        <w:t xml:space="preserve"> the report from the meeting of 8 October 2025 and the Annual Report on Academic Council Effectiveness 2024/25.   </w:t>
      </w:r>
    </w:p>
    <w:p w:rsidRPr="00B14F48" w:rsidR="00BE27F9" w:rsidP="00784ED9" w:rsidRDefault="002A34E6" w14:paraId="4E7C8A35"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15. Remunerations Committee</w:t>
      </w:r>
    </w:p>
    <w:p w:rsidRPr="00B14F48" w:rsidR="00BE27F9" w:rsidP="00B14F48" w:rsidRDefault="002A34E6" w14:paraId="6A8F0019" w14:textId="77777777">
      <w:pPr>
        <w:spacing w:after="0" w:line="240" w:lineRule="auto"/>
        <w:jc w:val="both"/>
        <w:rPr>
          <w:rFonts w:ascii="Calibri" w:hAnsi="Calibri" w:cs="Calibri"/>
          <w:sz w:val="22"/>
          <w:szCs w:val="22"/>
        </w:rPr>
      </w:pPr>
      <w:r w:rsidRPr="00B14F48">
        <w:rPr>
          <w:rFonts w:ascii="Calibri" w:hAnsi="Calibri" w:cs="Calibri"/>
          <w:sz w:val="22"/>
          <w:szCs w:val="22"/>
        </w:rPr>
        <w:t>Court received a report from Remunerations Committee that included coverage of the Senior Staff Remuneration Procedure, the Senior Staff Retention Procedure and the Principal and Vice Chancellor’s remuneration.                                                        </w:t>
      </w:r>
    </w:p>
    <w:p w:rsidRPr="00B14F48" w:rsidR="00BE27F9" w:rsidP="00B14F48" w:rsidRDefault="002A34E6" w14:paraId="231082B2" w14:textId="77777777">
      <w:pPr>
        <w:spacing w:after="0" w:line="240" w:lineRule="auto"/>
        <w:jc w:val="both"/>
        <w:rPr>
          <w:rFonts w:ascii="Calibri" w:hAnsi="Calibri" w:cs="Calibri"/>
          <w:sz w:val="22"/>
          <w:szCs w:val="22"/>
        </w:rPr>
      </w:pPr>
      <w:r w:rsidRPr="00B14F48">
        <w:rPr>
          <w:rFonts w:ascii="Calibri" w:hAnsi="Calibri" w:cs="Calibri"/>
          <w:sz w:val="22"/>
          <w:szCs w:val="22"/>
        </w:rPr>
        <w:t>              </w:t>
      </w:r>
    </w:p>
    <w:p w:rsidRPr="00B14F48" w:rsidR="00BE27F9" w:rsidP="00B14F48" w:rsidRDefault="002A34E6" w14:paraId="6C642564"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considered and </w:t>
      </w:r>
      <w:r w:rsidRPr="00B14F48">
        <w:rPr>
          <w:rFonts w:ascii="Calibri" w:hAnsi="Calibri" w:cs="Calibri"/>
          <w:sz w:val="22"/>
          <w:szCs w:val="22"/>
          <w:u w:val="single"/>
        </w:rPr>
        <w:t>noted</w:t>
      </w:r>
      <w:r w:rsidRPr="00B14F48">
        <w:rPr>
          <w:rFonts w:ascii="Calibri" w:hAnsi="Calibri" w:cs="Calibri"/>
          <w:sz w:val="22"/>
          <w:szCs w:val="22"/>
        </w:rPr>
        <w:t xml:space="preserve"> an overview of Remuneration Committee business during 2024/25.  </w:t>
      </w:r>
    </w:p>
    <w:p w:rsidRPr="00B14F48" w:rsidR="00BE27F9" w:rsidP="00784ED9" w:rsidRDefault="002A34E6" w14:paraId="7D35768D"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16. Governance and Nominations Committee</w:t>
      </w:r>
    </w:p>
    <w:p w:rsidRPr="00B14F48" w:rsidR="00BE27F9" w:rsidP="00B14F48" w:rsidRDefault="002A34E6" w14:paraId="76346B7E"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received a report from Governance and Nominations Committee, </w:t>
      </w:r>
      <w:r w:rsidRPr="00B14F48">
        <w:rPr>
          <w:rFonts w:ascii="Calibri" w:hAnsi="Calibri" w:cs="Calibri"/>
          <w:sz w:val="22"/>
          <w:szCs w:val="22"/>
          <w:u w:val="single"/>
        </w:rPr>
        <w:t>approved</w:t>
      </w:r>
      <w:r w:rsidRPr="00B14F48">
        <w:rPr>
          <w:rFonts w:ascii="Calibri" w:hAnsi="Calibri" w:cs="Calibri"/>
          <w:sz w:val="22"/>
          <w:szCs w:val="22"/>
        </w:rPr>
        <w:t xml:space="preserve"> the appointment of a Lay Member of Court and </w:t>
      </w:r>
      <w:r w:rsidRPr="00B14F48">
        <w:rPr>
          <w:rFonts w:ascii="Calibri" w:hAnsi="Calibri" w:cs="Calibri"/>
          <w:sz w:val="22"/>
          <w:szCs w:val="22"/>
          <w:u w:val="single"/>
        </w:rPr>
        <w:t>noted</w:t>
      </w:r>
      <w:r w:rsidRPr="00B14F48">
        <w:rPr>
          <w:rFonts w:ascii="Calibri" w:hAnsi="Calibri" w:cs="Calibri"/>
          <w:sz w:val="22"/>
          <w:szCs w:val="22"/>
        </w:rPr>
        <w:t xml:space="preserve"> appointments recommended by Governance and Nominations Committee that were approved by circulation.</w:t>
      </w:r>
    </w:p>
    <w:p w:rsidRPr="00B14F48" w:rsidR="00BE27F9" w:rsidP="00B14F48" w:rsidRDefault="002A34E6" w14:paraId="5067FA82" w14:textId="77777777">
      <w:pPr>
        <w:spacing w:before="120" w:line="240" w:lineRule="auto"/>
        <w:rPr>
          <w:rFonts w:ascii="Calibri" w:hAnsi="Calibri" w:cs="Calibri"/>
          <w:b/>
          <w:bCs/>
          <w:sz w:val="22"/>
          <w:szCs w:val="22"/>
        </w:rPr>
      </w:pPr>
      <w:r w:rsidRPr="00B14F48">
        <w:rPr>
          <w:rFonts w:ascii="Calibri" w:hAnsi="Calibri" w:cs="Calibri"/>
          <w:b/>
          <w:bCs/>
          <w:sz w:val="22"/>
          <w:szCs w:val="22"/>
        </w:rPr>
        <w:t>RISKS</w:t>
      </w:r>
    </w:p>
    <w:p w:rsidRPr="00B14F48" w:rsidR="00BE27F9" w:rsidP="00784ED9" w:rsidRDefault="002A34E6" w14:paraId="4F4AD0AC"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17. Risks Arising</w:t>
      </w:r>
    </w:p>
    <w:p w:rsidRPr="00B14F48" w:rsidR="00BE27F9" w:rsidP="00B14F48" w:rsidRDefault="002A34E6" w14:paraId="1E311F64" w14:textId="77777777">
      <w:pPr>
        <w:spacing w:after="0" w:line="240" w:lineRule="auto"/>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considered</w:t>
      </w:r>
      <w:r w:rsidRPr="00B14F48">
        <w:rPr>
          <w:rFonts w:ascii="Calibri" w:hAnsi="Calibri" w:cs="Calibri"/>
          <w:sz w:val="22"/>
          <w:szCs w:val="22"/>
        </w:rPr>
        <w:t xml:space="preserve"> risks associated with any items discussed in the context of the agreed risk appetite statements.</w:t>
      </w:r>
    </w:p>
    <w:p w:rsidRPr="00B14F48" w:rsidR="00BE27F9" w:rsidP="00B14F48" w:rsidRDefault="002A34E6" w14:paraId="731FF108" w14:textId="77777777">
      <w:pPr>
        <w:spacing w:before="120" w:line="240" w:lineRule="auto"/>
        <w:rPr>
          <w:rFonts w:ascii="Calibri" w:hAnsi="Calibri" w:cs="Calibri"/>
          <w:b/>
          <w:bCs/>
          <w:sz w:val="22"/>
          <w:szCs w:val="22"/>
        </w:rPr>
      </w:pPr>
      <w:r w:rsidRPr="00B14F48">
        <w:rPr>
          <w:rFonts w:ascii="Calibri" w:hAnsi="Calibri" w:cs="Calibri"/>
          <w:b/>
          <w:bCs/>
          <w:sz w:val="22"/>
          <w:szCs w:val="22"/>
        </w:rPr>
        <w:t>OTHER ITEMS</w:t>
      </w:r>
    </w:p>
    <w:p w:rsidRPr="00B14F48" w:rsidR="00BE27F9" w:rsidP="00784ED9" w:rsidRDefault="002A34E6" w14:paraId="16F55456"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18. Any Other Competent Business</w:t>
      </w:r>
    </w:p>
    <w:p w:rsidRPr="00B14F48" w:rsidR="00BE27F9" w:rsidP="00B14F48" w:rsidRDefault="002A34E6" w14:paraId="298CB649" w14:textId="77777777">
      <w:pPr>
        <w:spacing w:after="0" w:line="240" w:lineRule="auto"/>
        <w:rPr>
          <w:rFonts w:ascii="Calibri" w:hAnsi="Calibri" w:cs="Calibri"/>
          <w:sz w:val="22"/>
          <w:szCs w:val="22"/>
        </w:rPr>
      </w:pPr>
      <w:r w:rsidRPr="00B14F48">
        <w:rPr>
          <w:rFonts w:ascii="Calibri" w:hAnsi="Calibri" w:cs="Calibri"/>
          <w:sz w:val="22"/>
          <w:szCs w:val="22"/>
        </w:rPr>
        <w:t>There was no other competent business. </w:t>
      </w:r>
    </w:p>
    <w:p w:rsidRPr="00B14F48" w:rsidR="00BE27F9" w:rsidP="00784ED9" w:rsidRDefault="002A34E6" w14:paraId="7B002667" w14:textId="77777777">
      <w:pPr>
        <w:spacing w:before="120" w:after="0" w:line="240" w:lineRule="auto"/>
        <w:rPr>
          <w:rFonts w:ascii="Calibri" w:hAnsi="Calibri" w:cs="Calibri"/>
          <w:b/>
          <w:bCs/>
          <w:sz w:val="22"/>
          <w:szCs w:val="22"/>
        </w:rPr>
      </w:pPr>
      <w:r w:rsidRPr="00B14F48">
        <w:rPr>
          <w:rFonts w:ascii="Calibri" w:hAnsi="Calibri" w:cs="Calibri"/>
          <w:b/>
          <w:bCs/>
          <w:sz w:val="22"/>
          <w:szCs w:val="22"/>
        </w:rPr>
        <w:t>19. Next Meeting</w:t>
      </w:r>
    </w:p>
    <w:p w:rsidRPr="00B14F48" w:rsidR="00BE27F9" w:rsidP="00B14F48" w:rsidRDefault="002A34E6" w14:paraId="5F6A7E5B" w14:textId="77777777">
      <w:pPr>
        <w:spacing w:after="0" w:line="240" w:lineRule="auto"/>
        <w:jc w:val="both"/>
        <w:rPr>
          <w:rFonts w:ascii="Calibri" w:hAnsi="Calibri" w:cs="Calibri"/>
          <w:sz w:val="22"/>
          <w:szCs w:val="22"/>
        </w:rPr>
      </w:pPr>
      <w:r w:rsidRPr="00B14F48">
        <w:rPr>
          <w:rFonts w:ascii="Calibri" w:hAnsi="Calibri" w:cs="Calibri"/>
          <w:sz w:val="22"/>
          <w:szCs w:val="22"/>
        </w:rPr>
        <w:t xml:space="preserve">Court </w:t>
      </w:r>
      <w:r w:rsidRPr="00B14F48">
        <w:rPr>
          <w:rFonts w:ascii="Calibri" w:hAnsi="Calibri" w:cs="Calibri"/>
          <w:sz w:val="22"/>
          <w:szCs w:val="22"/>
          <w:u w:val="single"/>
        </w:rPr>
        <w:t>noted</w:t>
      </w:r>
      <w:r w:rsidRPr="00B14F48">
        <w:rPr>
          <w:rFonts w:ascii="Calibri" w:hAnsi="Calibri" w:cs="Calibri"/>
          <w:sz w:val="22"/>
          <w:szCs w:val="22"/>
        </w:rPr>
        <w:t xml:space="preserve"> the next meeting of Court was scheduled on Monday 15 December 2025. </w:t>
      </w:r>
    </w:p>
    <w:p w:rsidR="00FC1013" w:rsidP="00B14F48" w:rsidRDefault="00FC1013" w14:paraId="23B06460" w14:textId="77777777">
      <w:pPr>
        <w:spacing w:before="120" w:line="240" w:lineRule="auto"/>
        <w:rPr>
          <w:rFonts w:ascii="Calibri" w:hAnsi="Calibri" w:cs="Calibri"/>
          <w:b/>
          <w:bCs/>
          <w:sz w:val="22"/>
          <w:szCs w:val="22"/>
        </w:rPr>
      </w:pPr>
    </w:p>
    <w:p w:rsidR="00FC1013" w:rsidP="00B14F48" w:rsidRDefault="00FC1013" w14:paraId="569E7850" w14:textId="77777777">
      <w:pPr>
        <w:spacing w:before="120" w:line="240" w:lineRule="auto"/>
        <w:rPr>
          <w:rFonts w:ascii="Calibri" w:hAnsi="Calibri" w:cs="Calibri"/>
          <w:b/>
          <w:bCs/>
          <w:sz w:val="22"/>
          <w:szCs w:val="22"/>
        </w:rPr>
      </w:pPr>
    </w:p>
    <w:sectPr w:rsidRPr="00B14F48" w:rsidR="00BE27F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AB3" w:rsidP="00B76971" w:rsidRDefault="00D35AB3" w14:paraId="07B91FCD" w14:textId="77777777">
      <w:pPr>
        <w:spacing w:after="0" w:line="240" w:lineRule="auto"/>
      </w:pPr>
      <w:r>
        <w:separator/>
      </w:r>
    </w:p>
  </w:endnote>
  <w:endnote w:type="continuationSeparator" w:id="0">
    <w:p w:rsidR="00D35AB3" w:rsidP="00B76971" w:rsidRDefault="00D35AB3" w14:paraId="47BC81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1586"/>
      <w:docPartObj>
        <w:docPartGallery w:val="Page Numbers (Bottom of Page)"/>
        <w:docPartUnique/>
      </w:docPartObj>
    </w:sdtPr>
    <w:sdtEndPr>
      <w:rPr>
        <w:rFonts w:ascii="Calibri" w:hAnsi="Calibri" w:cs="Calibri"/>
        <w:noProof/>
      </w:rPr>
    </w:sdtEndPr>
    <w:sdtContent>
      <w:p w:rsidRPr="00ED32F7" w:rsidR="00ED32F7" w:rsidRDefault="00ED32F7" w14:paraId="2604E9E6" w14:textId="4FD6AD85">
        <w:pPr>
          <w:pStyle w:val="Footer"/>
          <w:jc w:val="center"/>
          <w:rPr>
            <w:rFonts w:ascii="Calibri" w:hAnsi="Calibri" w:cs="Calibri"/>
          </w:rPr>
        </w:pPr>
        <w:r w:rsidRPr="00ED32F7">
          <w:rPr>
            <w:rFonts w:ascii="Calibri" w:hAnsi="Calibri" w:cs="Calibri"/>
            <w:sz w:val="22"/>
            <w:szCs w:val="22"/>
          </w:rPr>
          <w:fldChar w:fldCharType="begin"/>
        </w:r>
        <w:r w:rsidRPr="00ED32F7">
          <w:rPr>
            <w:rFonts w:ascii="Calibri" w:hAnsi="Calibri" w:cs="Calibri"/>
            <w:sz w:val="22"/>
            <w:szCs w:val="22"/>
          </w:rPr>
          <w:instrText xml:space="preserve"> PAGE   \* MERGEFORMAT </w:instrText>
        </w:r>
        <w:r w:rsidRPr="00ED32F7">
          <w:rPr>
            <w:rFonts w:ascii="Calibri" w:hAnsi="Calibri" w:cs="Calibri"/>
            <w:sz w:val="22"/>
            <w:szCs w:val="22"/>
          </w:rPr>
          <w:fldChar w:fldCharType="separate"/>
        </w:r>
        <w:r w:rsidRPr="00ED32F7">
          <w:rPr>
            <w:rFonts w:ascii="Calibri" w:hAnsi="Calibri" w:cs="Calibri"/>
            <w:noProof/>
            <w:sz w:val="22"/>
            <w:szCs w:val="22"/>
          </w:rPr>
          <w:t>2</w:t>
        </w:r>
        <w:r w:rsidRPr="00ED32F7">
          <w:rPr>
            <w:rFonts w:ascii="Calibri" w:hAnsi="Calibri" w:cs="Calibri"/>
            <w:noProof/>
            <w:sz w:val="22"/>
            <w:szCs w:val="22"/>
          </w:rPr>
          <w:fldChar w:fldCharType="end"/>
        </w:r>
      </w:p>
    </w:sdtContent>
  </w:sdt>
  <w:p w:rsidRPr="00ED32F7" w:rsidR="00B76971" w:rsidP="00ED32F7" w:rsidRDefault="00B76971" w14:paraId="47DAECFE" w14:textId="6667C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AB3" w:rsidP="00B76971" w:rsidRDefault="00D35AB3" w14:paraId="5CE058EF" w14:textId="77777777">
      <w:pPr>
        <w:spacing w:after="0" w:line="240" w:lineRule="auto"/>
      </w:pPr>
      <w:r>
        <w:separator/>
      </w:r>
    </w:p>
  </w:footnote>
  <w:footnote w:type="continuationSeparator" w:id="0">
    <w:p w:rsidR="00D35AB3" w:rsidP="00B76971" w:rsidRDefault="00D35AB3" w14:paraId="69ABCB3F"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E"/>
    <w:rsid w:val="000017CA"/>
    <w:rsid w:val="000064CB"/>
    <w:rsid w:val="00007197"/>
    <w:rsid w:val="0001631E"/>
    <w:rsid w:val="00017948"/>
    <w:rsid w:val="00025DA6"/>
    <w:rsid w:val="0003308B"/>
    <w:rsid w:val="000357EF"/>
    <w:rsid w:val="00035B4F"/>
    <w:rsid w:val="000464C8"/>
    <w:rsid w:val="00056DBE"/>
    <w:rsid w:val="00076AFE"/>
    <w:rsid w:val="000915A0"/>
    <w:rsid w:val="000927D7"/>
    <w:rsid w:val="00094EC9"/>
    <w:rsid w:val="000A152E"/>
    <w:rsid w:val="000A5264"/>
    <w:rsid w:val="000A6734"/>
    <w:rsid w:val="000B1600"/>
    <w:rsid w:val="000B1C37"/>
    <w:rsid w:val="000B28BD"/>
    <w:rsid w:val="000B3FCF"/>
    <w:rsid w:val="000B5FBA"/>
    <w:rsid w:val="000C5408"/>
    <w:rsid w:val="000D4BE1"/>
    <w:rsid w:val="000F0A05"/>
    <w:rsid w:val="001148C1"/>
    <w:rsid w:val="00114CF1"/>
    <w:rsid w:val="00127EFD"/>
    <w:rsid w:val="00140240"/>
    <w:rsid w:val="00143122"/>
    <w:rsid w:val="00143527"/>
    <w:rsid w:val="0014732C"/>
    <w:rsid w:val="001620B5"/>
    <w:rsid w:val="00172B1D"/>
    <w:rsid w:val="00173D86"/>
    <w:rsid w:val="001745A9"/>
    <w:rsid w:val="00177F35"/>
    <w:rsid w:val="00180E17"/>
    <w:rsid w:val="00181FA7"/>
    <w:rsid w:val="00191B3A"/>
    <w:rsid w:val="00193179"/>
    <w:rsid w:val="0019335D"/>
    <w:rsid w:val="001959BB"/>
    <w:rsid w:val="001975CF"/>
    <w:rsid w:val="00197B6D"/>
    <w:rsid w:val="001B3155"/>
    <w:rsid w:val="001B431E"/>
    <w:rsid w:val="001C2CAB"/>
    <w:rsid w:val="001E3646"/>
    <w:rsid w:val="001E56FD"/>
    <w:rsid w:val="001E6097"/>
    <w:rsid w:val="001F2DEB"/>
    <w:rsid w:val="001F4436"/>
    <w:rsid w:val="00201C60"/>
    <w:rsid w:val="00204308"/>
    <w:rsid w:val="00211F1B"/>
    <w:rsid w:val="00221932"/>
    <w:rsid w:val="00233452"/>
    <w:rsid w:val="00235F89"/>
    <w:rsid w:val="002369EC"/>
    <w:rsid w:val="00241CFB"/>
    <w:rsid w:val="00256D2F"/>
    <w:rsid w:val="00264661"/>
    <w:rsid w:val="00265D27"/>
    <w:rsid w:val="002805A0"/>
    <w:rsid w:val="002814C5"/>
    <w:rsid w:val="00281A7D"/>
    <w:rsid w:val="00283738"/>
    <w:rsid w:val="002861D3"/>
    <w:rsid w:val="00297661"/>
    <w:rsid w:val="002A0E50"/>
    <w:rsid w:val="002A34E6"/>
    <w:rsid w:val="002B2C44"/>
    <w:rsid w:val="002C32AA"/>
    <w:rsid w:val="002C736C"/>
    <w:rsid w:val="002E38A3"/>
    <w:rsid w:val="002E3BDA"/>
    <w:rsid w:val="002E5488"/>
    <w:rsid w:val="002F2CF8"/>
    <w:rsid w:val="002F4A22"/>
    <w:rsid w:val="002F66D3"/>
    <w:rsid w:val="00302712"/>
    <w:rsid w:val="00302935"/>
    <w:rsid w:val="00304541"/>
    <w:rsid w:val="0032264E"/>
    <w:rsid w:val="00326A59"/>
    <w:rsid w:val="00334A80"/>
    <w:rsid w:val="003407E4"/>
    <w:rsid w:val="00344677"/>
    <w:rsid w:val="00345E84"/>
    <w:rsid w:val="003525BC"/>
    <w:rsid w:val="003562B0"/>
    <w:rsid w:val="0037679D"/>
    <w:rsid w:val="003937F1"/>
    <w:rsid w:val="00394EFA"/>
    <w:rsid w:val="003975F7"/>
    <w:rsid w:val="003A2A38"/>
    <w:rsid w:val="003A44D4"/>
    <w:rsid w:val="003B64CD"/>
    <w:rsid w:val="003B7ACF"/>
    <w:rsid w:val="003D0DB2"/>
    <w:rsid w:val="003D38DF"/>
    <w:rsid w:val="003D3D01"/>
    <w:rsid w:val="003F6A40"/>
    <w:rsid w:val="00401DC6"/>
    <w:rsid w:val="004139C1"/>
    <w:rsid w:val="00427DC3"/>
    <w:rsid w:val="00430B7F"/>
    <w:rsid w:val="004444D4"/>
    <w:rsid w:val="00444CC1"/>
    <w:rsid w:val="004508E9"/>
    <w:rsid w:val="00452C13"/>
    <w:rsid w:val="00452D89"/>
    <w:rsid w:val="0045342B"/>
    <w:rsid w:val="00455240"/>
    <w:rsid w:val="00463252"/>
    <w:rsid w:val="00470A8C"/>
    <w:rsid w:val="00475641"/>
    <w:rsid w:val="00483227"/>
    <w:rsid w:val="00483B32"/>
    <w:rsid w:val="00485DE3"/>
    <w:rsid w:val="00490A05"/>
    <w:rsid w:val="004929A5"/>
    <w:rsid w:val="004932B2"/>
    <w:rsid w:val="004A6904"/>
    <w:rsid w:val="004A7566"/>
    <w:rsid w:val="004B347A"/>
    <w:rsid w:val="004B37D8"/>
    <w:rsid w:val="004C0A17"/>
    <w:rsid w:val="004C5954"/>
    <w:rsid w:val="004D7632"/>
    <w:rsid w:val="004E36D0"/>
    <w:rsid w:val="00502FF3"/>
    <w:rsid w:val="0051647C"/>
    <w:rsid w:val="00520BF5"/>
    <w:rsid w:val="00526D71"/>
    <w:rsid w:val="00530A4E"/>
    <w:rsid w:val="00535976"/>
    <w:rsid w:val="00541FC1"/>
    <w:rsid w:val="005446BF"/>
    <w:rsid w:val="005545FE"/>
    <w:rsid w:val="005546B8"/>
    <w:rsid w:val="005546D1"/>
    <w:rsid w:val="00565734"/>
    <w:rsid w:val="005676DA"/>
    <w:rsid w:val="00572FBB"/>
    <w:rsid w:val="005814AA"/>
    <w:rsid w:val="00582C82"/>
    <w:rsid w:val="00587CD0"/>
    <w:rsid w:val="0059206A"/>
    <w:rsid w:val="005A1AFE"/>
    <w:rsid w:val="005A6789"/>
    <w:rsid w:val="005C1AD0"/>
    <w:rsid w:val="005C7644"/>
    <w:rsid w:val="005D5161"/>
    <w:rsid w:val="005D7B45"/>
    <w:rsid w:val="005E1F0F"/>
    <w:rsid w:val="005E4333"/>
    <w:rsid w:val="005F232C"/>
    <w:rsid w:val="005F4717"/>
    <w:rsid w:val="00602A07"/>
    <w:rsid w:val="00604FF5"/>
    <w:rsid w:val="006058DE"/>
    <w:rsid w:val="00606B7B"/>
    <w:rsid w:val="00614F7A"/>
    <w:rsid w:val="00637EFB"/>
    <w:rsid w:val="006414EE"/>
    <w:rsid w:val="0065736D"/>
    <w:rsid w:val="006754CE"/>
    <w:rsid w:val="00684FEA"/>
    <w:rsid w:val="006873AD"/>
    <w:rsid w:val="00691443"/>
    <w:rsid w:val="006A4043"/>
    <w:rsid w:val="006B43F2"/>
    <w:rsid w:val="006B7401"/>
    <w:rsid w:val="006C01F9"/>
    <w:rsid w:val="006C2D47"/>
    <w:rsid w:val="006C73C2"/>
    <w:rsid w:val="006D27F5"/>
    <w:rsid w:val="006D5E1C"/>
    <w:rsid w:val="006E13B5"/>
    <w:rsid w:val="006E5AA3"/>
    <w:rsid w:val="006E7CC4"/>
    <w:rsid w:val="006F2B6C"/>
    <w:rsid w:val="006F4062"/>
    <w:rsid w:val="00700C83"/>
    <w:rsid w:val="00710174"/>
    <w:rsid w:val="00710B15"/>
    <w:rsid w:val="00714201"/>
    <w:rsid w:val="00714C9D"/>
    <w:rsid w:val="0072071E"/>
    <w:rsid w:val="0073358A"/>
    <w:rsid w:val="00734AC5"/>
    <w:rsid w:val="00742B2E"/>
    <w:rsid w:val="00756FAB"/>
    <w:rsid w:val="00757DC2"/>
    <w:rsid w:val="00765F96"/>
    <w:rsid w:val="00784ED9"/>
    <w:rsid w:val="007852E6"/>
    <w:rsid w:val="00792880"/>
    <w:rsid w:val="007970E9"/>
    <w:rsid w:val="007A5444"/>
    <w:rsid w:val="007B1646"/>
    <w:rsid w:val="007B31E3"/>
    <w:rsid w:val="007B67E2"/>
    <w:rsid w:val="007C019E"/>
    <w:rsid w:val="007C26E2"/>
    <w:rsid w:val="007C7931"/>
    <w:rsid w:val="007D337E"/>
    <w:rsid w:val="007E48FD"/>
    <w:rsid w:val="007E55D0"/>
    <w:rsid w:val="007E73A2"/>
    <w:rsid w:val="007E7CD9"/>
    <w:rsid w:val="007F173F"/>
    <w:rsid w:val="00804341"/>
    <w:rsid w:val="00813CF7"/>
    <w:rsid w:val="00830E6F"/>
    <w:rsid w:val="00834290"/>
    <w:rsid w:val="00846597"/>
    <w:rsid w:val="008511E9"/>
    <w:rsid w:val="00851D9B"/>
    <w:rsid w:val="00865304"/>
    <w:rsid w:val="00865CA9"/>
    <w:rsid w:val="00867727"/>
    <w:rsid w:val="00870A88"/>
    <w:rsid w:val="008856F7"/>
    <w:rsid w:val="008A0108"/>
    <w:rsid w:val="008A2917"/>
    <w:rsid w:val="008A7FFB"/>
    <w:rsid w:val="008B195B"/>
    <w:rsid w:val="008B2B98"/>
    <w:rsid w:val="008B60CB"/>
    <w:rsid w:val="008B7289"/>
    <w:rsid w:val="008C4491"/>
    <w:rsid w:val="008C45E8"/>
    <w:rsid w:val="008D3C74"/>
    <w:rsid w:val="008E0FC6"/>
    <w:rsid w:val="00903573"/>
    <w:rsid w:val="009046F9"/>
    <w:rsid w:val="0092375B"/>
    <w:rsid w:val="009239C0"/>
    <w:rsid w:val="00925EB2"/>
    <w:rsid w:val="0092721D"/>
    <w:rsid w:val="0093534D"/>
    <w:rsid w:val="00940C66"/>
    <w:rsid w:val="00952E58"/>
    <w:rsid w:val="00961B17"/>
    <w:rsid w:val="009633EC"/>
    <w:rsid w:val="00974709"/>
    <w:rsid w:val="00975074"/>
    <w:rsid w:val="00976F2A"/>
    <w:rsid w:val="00981BB5"/>
    <w:rsid w:val="00983B1C"/>
    <w:rsid w:val="00986445"/>
    <w:rsid w:val="00986C69"/>
    <w:rsid w:val="009872C0"/>
    <w:rsid w:val="00992FAF"/>
    <w:rsid w:val="00993111"/>
    <w:rsid w:val="00993E85"/>
    <w:rsid w:val="00997AC1"/>
    <w:rsid w:val="009A64A4"/>
    <w:rsid w:val="009A7428"/>
    <w:rsid w:val="009B7D8E"/>
    <w:rsid w:val="009D41A0"/>
    <w:rsid w:val="009D4DD5"/>
    <w:rsid w:val="009D4E28"/>
    <w:rsid w:val="009E02CF"/>
    <w:rsid w:val="009E2C52"/>
    <w:rsid w:val="009E2D8B"/>
    <w:rsid w:val="009E2E72"/>
    <w:rsid w:val="009F3F72"/>
    <w:rsid w:val="009F5C0E"/>
    <w:rsid w:val="00A2119F"/>
    <w:rsid w:val="00A223CE"/>
    <w:rsid w:val="00A2762A"/>
    <w:rsid w:val="00A27B12"/>
    <w:rsid w:val="00A34C44"/>
    <w:rsid w:val="00A41D7D"/>
    <w:rsid w:val="00A43B35"/>
    <w:rsid w:val="00A5008A"/>
    <w:rsid w:val="00A638FF"/>
    <w:rsid w:val="00A807FF"/>
    <w:rsid w:val="00A8285F"/>
    <w:rsid w:val="00A8328A"/>
    <w:rsid w:val="00A83B8D"/>
    <w:rsid w:val="00A860F7"/>
    <w:rsid w:val="00A95DA2"/>
    <w:rsid w:val="00AA0583"/>
    <w:rsid w:val="00AC052D"/>
    <w:rsid w:val="00AC06A8"/>
    <w:rsid w:val="00AC7229"/>
    <w:rsid w:val="00AD1D43"/>
    <w:rsid w:val="00AD49A2"/>
    <w:rsid w:val="00AD774F"/>
    <w:rsid w:val="00AE365A"/>
    <w:rsid w:val="00AF393F"/>
    <w:rsid w:val="00AF7C3C"/>
    <w:rsid w:val="00B00DB8"/>
    <w:rsid w:val="00B0347F"/>
    <w:rsid w:val="00B058F3"/>
    <w:rsid w:val="00B05BAF"/>
    <w:rsid w:val="00B10325"/>
    <w:rsid w:val="00B14F48"/>
    <w:rsid w:val="00B17B5E"/>
    <w:rsid w:val="00B20734"/>
    <w:rsid w:val="00B31079"/>
    <w:rsid w:val="00B31692"/>
    <w:rsid w:val="00B34ADA"/>
    <w:rsid w:val="00B45311"/>
    <w:rsid w:val="00B60120"/>
    <w:rsid w:val="00B6785C"/>
    <w:rsid w:val="00B72DBC"/>
    <w:rsid w:val="00B76971"/>
    <w:rsid w:val="00B76C42"/>
    <w:rsid w:val="00B91B51"/>
    <w:rsid w:val="00BB1154"/>
    <w:rsid w:val="00BB1F52"/>
    <w:rsid w:val="00BB4143"/>
    <w:rsid w:val="00BB5418"/>
    <w:rsid w:val="00BD43C9"/>
    <w:rsid w:val="00BD48CF"/>
    <w:rsid w:val="00BD4EA8"/>
    <w:rsid w:val="00BE27F9"/>
    <w:rsid w:val="00BE34FD"/>
    <w:rsid w:val="00BE5DA2"/>
    <w:rsid w:val="00BF06E4"/>
    <w:rsid w:val="00BF23FA"/>
    <w:rsid w:val="00BF3D4B"/>
    <w:rsid w:val="00C03BE0"/>
    <w:rsid w:val="00C0656C"/>
    <w:rsid w:val="00C17596"/>
    <w:rsid w:val="00C21D41"/>
    <w:rsid w:val="00C2442D"/>
    <w:rsid w:val="00C31DB1"/>
    <w:rsid w:val="00C343BB"/>
    <w:rsid w:val="00C41BD5"/>
    <w:rsid w:val="00C4220E"/>
    <w:rsid w:val="00C51156"/>
    <w:rsid w:val="00C52480"/>
    <w:rsid w:val="00C5283B"/>
    <w:rsid w:val="00C55DDE"/>
    <w:rsid w:val="00C62403"/>
    <w:rsid w:val="00C70007"/>
    <w:rsid w:val="00C7735A"/>
    <w:rsid w:val="00C8155E"/>
    <w:rsid w:val="00CA094F"/>
    <w:rsid w:val="00CB31CE"/>
    <w:rsid w:val="00CB41C3"/>
    <w:rsid w:val="00CC6C37"/>
    <w:rsid w:val="00CD1F1D"/>
    <w:rsid w:val="00CD33D5"/>
    <w:rsid w:val="00CD50F4"/>
    <w:rsid w:val="00CE0CA5"/>
    <w:rsid w:val="00CE4443"/>
    <w:rsid w:val="00CE4DC7"/>
    <w:rsid w:val="00CE7DF1"/>
    <w:rsid w:val="00CF0F92"/>
    <w:rsid w:val="00D0409F"/>
    <w:rsid w:val="00D047AB"/>
    <w:rsid w:val="00D04A2D"/>
    <w:rsid w:val="00D101D4"/>
    <w:rsid w:val="00D1377A"/>
    <w:rsid w:val="00D14595"/>
    <w:rsid w:val="00D17E34"/>
    <w:rsid w:val="00D232A1"/>
    <w:rsid w:val="00D24940"/>
    <w:rsid w:val="00D32BAA"/>
    <w:rsid w:val="00D35084"/>
    <w:rsid w:val="00D35AB3"/>
    <w:rsid w:val="00D45078"/>
    <w:rsid w:val="00D610ED"/>
    <w:rsid w:val="00D6545F"/>
    <w:rsid w:val="00D75D5C"/>
    <w:rsid w:val="00D764B3"/>
    <w:rsid w:val="00D944E0"/>
    <w:rsid w:val="00D95288"/>
    <w:rsid w:val="00D964BC"/>
    <w:rsid w:val="00D97DC3"/>
    <w:rsid w:val="00DB4957"/>
    <w:rsid w:val="00DB5616"/>
    <w:rsid w:val="00DC59D6"/>
    <w:rsid w:val="00DD0E02"/>
    <w:rsid w:val="00DD3F8F"/>
    <w:rsid w:val="00DD57F4"/>
    <w:rsid w:val="00DE4E7F"/>
    <w:rsid w:val="00E1690F"/>
    <w:rsid w:val="00E2078F"/>
    <w:rsid w:val="00E21634"/>
    <w:rsid w:val="00E27CEC"/>
    <w:rsid w:val="00E3214F"/>
    <w:rsid w:val="00E3339A"/>
    <w:rsid w:val="00E432FF"/>
    <w:rsid w:val="00E43FB7"/>
    <w:rsid w:val="00E65A2B"/>
    <w:rsid w:val="00E70EF5"/>
    <w:rsid w:val="00E7239D"/>
    <w:rsid w:val="00E807BA"/>
    <w:rsid w:val="00E85D4D"/>
    <w:rsid w:val="00E93D6D"/>
    <w:rsid w:val="00E94BEB"/>
    <w:rsid w:val="00EA44C9"/>
    <w:rsid w:val="00EC5B52"/>
    <w:rsid w:val="00ED01F4"/>
    <w:rsid w:val="00ED0618"/>
    <w:rsid w:val="00ED32F7"/>
    <w:rsid w:val="00EE0ACE"/>
    <w:rsid w:val="00EE51F3"/>
    <w:rsid w:val="00EF2726"/>
    <w:rsid w:val="00EF5295"/>
    <w:rsid w:val="00EF7635"/>
    <w:rsid w:val="00F02403"/>
    <w:rsid w:val="00F05547"/>
    <w:rsid w:val="00F07A90"/>
    <w:rsid w:val="00F111B5"/>
    <w:rsid w:val="00F13BB2"/>
    <w:rsid w:val="00F15BBF"/>
    <w:rsid w:val="00F3283B"/>
    <w:rsid w:val="00F454E9"/>
    <w:rsid w:val="00F5151B"/>
    <w:rsid w:val="00F56795"/>
    <w:rsid w:val="00F668B5"/>
    <w:rsid w:val="00F741C4"/>
    <w:rsid w:val="00F75912"/>
    <w:rsid w:val="00F76D13"/>
    <w:rsid w:val="00F80FF4"/>
    <w:rsid w:val="00F93665"/>
    <w:rsid w:val="00F94F15"/>
    <w:rsid w:val="00FA01DE"/>
    <w:rsid w:val="00FA63AB"/>
    <w:rsid w:val="00FB069E"/>
    <w:rsid w:val="00FB7AC8"/>
    <w:rsid w:val="00FC05C6"/>
    <w:rsid w:val="00FC1013"/>
    <w:rsid w:val="00FC23B7"/>
    <w:rsid w:val="00FC61BB"/>
    <w:rsid w:val="00FD0D03"/>
    <w:rsid w:val="00FD1405"/>
    <w:rsid w:val="00FD26F1"/>
    <w:rsid w:val="00FD3328"/>
    <w:rsid w:val="00FD43C2"/>
    <w:rsid w:val="00FE0915"/>
    <w:rsid w:val="00FE14EF"/>
    <w:rsid w:val="00FE3C79"/>
    <w:rsid w:val="00FF773E"/>
    <w:rsid w:val="0124CFE1"/>
    <w:rsid w:val="01555802"/>
    <w:rsid w:val="01602C8B"/>
    <w:rsid w:val="01994D20"/>
    <w:rsid w:val="023B698B"/>
    <w:rsid w:val="0382E038"/>
    <w:rsid w:val="045D0C25"/>
    <w:rsid w:val="050A602E"/>
    <w:rsid w:val="08726ECF"/>
    <w:rsid w:val="0BC7DEC0"/>
    <w:rsid w:val="0BE87F54"/>
    <w:rsid w:val="0F88A1FF"/>
    <w:rsid w:val="0F9A269D"/>
    <w:rsid w:val="10E233F6"/>
    <w:rsid w:val="11A3814F"/>
    <w:rsid w:val="15E7159E"/>
    <w:rsid w:val="167AAB29"/>
    <w:rsid w:val="17854853"/>
    <w:rsid w:val="179F7E64"/>
    <w:rsid w:val="189159A6"/>
    <w:rsid w:val="18C7695D"/>
    <w:rsid w:val="1906927D"/>
    <w:rsid w:val="193A2E0F"/>
    <w:rsid w:val="1B4913DE"/>
    <w:rsid w:val="1C1956DF"/>
    <w:rsid w:val="1CCA2E9F"/>
    <w:rsid w:val="1D334D64"/>
    <w:rsid w:val="1E728F50"/>
    <w:rsid w:val="1ED3ACDC"/>
    <w:rsid w:val="201BEC47"/>
    <w:rsid w:val="20201CE7"/>
    <w:rsid w:val="20846AA4"/>
    <w:rsid w:val="21865C13"/>
    <w:rsid w:val="246DC90D"/>
    <w:rsid w:val="27A8C05B"/>
    <w:rsid w:val="292AE738"/>
    <w:rsid w:val="2A6CBE52"/>
    <w:rsid w:val="2A7CE5DA"/>
    <w:rsid w:val="2B6CB991"/>
    <w:rsid w:val="2C10DC5F"/>
    <w:rsid w:val="2DD5BECF"/>
    <w:rsid w:val="2F2DE5ED"/>
    <w:rsid w:val="2FD0036F"/>
    <w:rsid w:val="2FD9C7DE"/>
    <w:rsid w:val="309D2E3D"/>
    <w:rsid w:val="30E2288B"/>
    <w:rsid w:val="32011BB6"/>
    <w:rsid w:val="32E56205"/>
    <w:rsid w:val="330A42B6"/>
    <w:rsid w:val="33DE34EB"/>
    <w:rsid w:val="34051671"/>
    <w:rsid w:val="34CA614E"/>
    <w:rsid w:val="36144CE4"/>
    <w:rsid w:val="3A961353"/>
    <w:rsid w:val="3B9E782D"/>
    <w:rsid w:val="3D13DDAF"/>
    <w:rsid w:val="3E85AD69"/>
    <w:rsid w:val="3EC20137"/>
    <w:rsid w:val="41345929"/>
    <w:rsid w:val="41622242"/>
    <w:rsid w:val="42E9CC04"/>
    <w:rsid w:val="4443232B"/>
    <w:rsid w:val="4574691E"/>
    <w:rsid w:val="47ED009E"/>
    <w:rsid w:val="4C832A41"/>
    <w:rsid w:val="4E9DBD6F"/>
    <w:rsid w:val="501719BF"/>
    <w:rsid w:val="50D1BB14"/>
    <w:rsid w:val="52CEF108"/>
    <w:rsid w:val="533FDF11"/>
    <w:rsid w:val="55B31FD0"/>
    <w:rsid w:val="561B4B1D"/>
    <w:rsid w:val="564D8ED9"/>
    <w:rsid w:val="5656A637"/>
    <w:rsid w:val="56850B1F"/>
    <w:rsid w:val="5799E50F"/>
    <w:rsid w:val="59E21143"/>
    <w:rsid w:val="5C01BE7D"/>
    <w:rsid w:val="5C796E6E"/>
    <w:rsid w:val="5D822A1B"/>
    <w:rsid w:val="5E40429B"/>
    <w:rsid w:val="610B8E49"/>
    <w:rsid w:val="612B3A3C"/>
    <w:rsid w:val="63E524CE"/>
    <w:rsid w:val="643CFAED"/>
    <w:rsid w:val="64954B11"/>
    <w:rsid w:val="64CDC2C2"/>
    <w:rsid w:val="667866FE"/>
    <w:rsid w:val="6758EE33"/>
    <w:rsid w:val="6814AD5E"/>
    <w:rsid w:val="68C17C2E"/>
    <w:rsid w:val="6C198581"/>
    <w:rsid w:val="6E9A5964"/>
    <w:rsid w:val="6EE01392"/>
    <w:rsid w:val="719969F2"/>
    <w:rsid w:val="72621486"/>
    <w:rsid w:val="72E4A469"/>
    <w:rsid w:val="73B07580"/>
    <w:rsid w:val="7522476F"/>
    <w:rsid w:val="7BAA43C4"/>
    <w:rsid w:val="7F79741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6349"/>
  <w15:chartTrackingRefBased/>
  <w15:docId w15:val="{2DFF5157-A38C-4D62-9E02-6CE1171E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B7D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D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D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7D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B7D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B7D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B7D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B7D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B7D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B7D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B7D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B7D8E"/>
    <w:rPr>
      <w:rFonts w:eastAsiaTheme="majorEastAsia" w:cstheme="majorBidi"/>
      <w:color w:val="272727" w:themeColor="text1" w:themeTint="D8"/>
    </w:rPr>
  </w:style>
  <w:style w:type="paragraph" w:styleId="Title">
    <w:name w:val="Title"/>
    <w:basedOn w:val="Normal"/>
    <w:next w:val="Normal"/>
    <w:link w:val="TitleChar"/>
    <w:uiPriority w:val="10"/>
    <w:qFormat/>
    <w:rsid w:val="009B7D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7D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B7D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B7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D8E"/>
    <w:pPr>
      <w:spacing w:before="160"/>
      <w:jc w:val="center"/>
    </w:pPr>
    <w:rPr>
      <w:i/>
      <w:iCs/>
      <w:color w:val="404040" w:themeColor="text1" w:themeTint="BF"/>
    </w:rPr>
  </w:style>
  <w:style w:type="character" w:styleId="QuoteChar" w:customStyle="1">
    <w:name w:val="Quote Char"/>
    <w:basedOn w:val="DefaultParagraphFont"/>
    <w:link w:val="Quote"/>
    <w:uiPriority w:val="29"/>
    <w:rsid w:val="009B7D8E"/>
    <w:rPr>
      <w:i/>
      <w:iCs/>
      <w:color w:val="404040" w:themeColor="text1" w:themeTint="BF"/>
    </w:rPr>
  </w:style>
  <w:style w:type="paragraph" w:styleId="ListParagraph">
    <w:name w:val="List Paragraph"/>
    <w:basedOn w:val="Normal"/>
    <w:uiPriority w:val="34"/>
    <w:qFormat/>
    <w:rsid w:val="009B7D8E"/>
    <w:pPr>
      <w:ind w:left="720"/>
      <w:contextualSpacing/>
    </w:pPr>
  </w:style>
  <w:style w:type="character" w:styleId="IntenseEmphasis">
    <w:name w:val="Intense Emphasis"/>
    <w:basedOn w:val="DefaultParagraphFont"/>
    <w:uiPriority w:val="21"/>
    <w:qFormat/>
    <w:rsid w:val="009B7D8E"/>
    <w:rPr>
      <w:i/>
      <w:iCs/>
      <w:color w:val="0F4761" w:themeColor="accent1" w:themeShade="BF"/>
    </w:rPr>
  </w:style>
  <w:style w:type="paragraph" w:styleId="IntenseQuote">
    <w:name w:val="Intense Quote"/>
    <w:basedOn w:val="Normal"/>
    <w:next w:val="Normal"/>
    <w:link w:val="IntenseQuoteChar"/>
    <w:uiPriority w:val="30"/>
    <w:qFormat/>
    <w:rsid w:val="009B7D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B7D8E"/>
    <w:rPr>
      <w:i/>
      <w:iCs/>
      <w:color w:val="0F4761" w:themeColor="accent1" w:themeShade="BF"/>
    </w:rPr>
  </w:style>
  <w:style w:type="character" w:styleId="IntenseReference">
    <w:name w:val="Intense Reference"/>
    <w:basedOn w:val="DefaultParagraphFont"/>
    <w:uiPriority w:val="32"/>
    <w:qFormat/>
    <w:rsid w:val="009B7D8E"/>
    <w:rPr>
      <w:b/>
      <w:bCs/>
      <w:smallCaps/>
      <w:color w:val="0F4761" w:themeColor="accent1" w:themeShade="BF"/>
      <w:spacing w:val="5"/>
    </w:rPr>
  </w:style>
  <w:style w:type="paragraph" w:styleId="Header">
    <w:name w:val="header"/>
    <w:basedOn w:val="Normal"/>
    <w:link w:val="HeaderChar"/>
    <w:uiPriority w:val="99"/>
    <w:unhideWhenUsed/>
    <w:rsid w:val="00B769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6971"/>
  </w:style>
  <w:style w:type="paragraph" w:styleId="Footer">
    <w:name w:val="footer"/>
    <w:basedOn w:val="Normal"/>
    <w:link w:val="FooterChar"/>
    <w:uiPriority w:val="99"/>
    <w:unhideWhenUsed/>
    <w:rsid w:val="00B769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6971"/>
  </w:style>
  <w:style w:type="paragraph" w:styleId="Caption">
    <w:name w:val="caption"/>
    <w:basedOn w:val="Normal"/>
    <w:qFormat/>
    <w:pPr>
      <w:suppressLineNumbers/>
      <w:spacing w:before="120" w:after="120"/>
    </w:pPr>
    <w:rPr>
      <w:rFonts w:cs="Lohit Devanagari"/>
      <w:i/>
      <w:iCs/>
    </w:rPr>
  </w:style>
  <w:style w:type="character" w:styleId="CitationCar" w:customStyle="1">
    <w:name w:val="Citation Car"/>
    <w:uiPriority w:val="29"/>
    <w:rsid w:val="00117C2C"/>
    <w:rPr>
      <w:i/>
      <w:iCs/>
      <w:color w:val="404040" w:themeColor="text1" w:themeTint="BF"/>
    </w:rPr>
  </w:style>
  <w:style w:type="paragraph" w:styleId="code" w:customStyle="1">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styleId="Heading" w:customStyle="1">
    <w:name w:val="Heading"/>
    <w:basedOn w:val="Normal"/>
    <w:next w:val="Normal"/>
    <w:link w:val="HeadingCar"/>
    <w:uiPriority w:val="10"/>
    <w:qFormat/>
    <w:rsid w:val="00984053"/>
    <w:pPr>
      <w:spacing w:after="0" w:line="240" w:lineRule="auto"/>
      <w:contextualSpacing/>
    </w:pPr>
    <w:rPr>
      <w:rFonts w:asciiTheme="majorHAnsi" w:hAnsiTheme="majorHAnsi" w:eastAsiaTheme="majorEastAsia" w:cstheme="majorBidi"/>
      <w:spacing w:val="-10"/>
      <w:kern w:val="28"/>
      <w:sz w:val="56"/>
      <w:szCs w:val="56"/>
    </w:rPr>
  </w:style>
  <w:style w:type="character" w:styleId="Hyperlink">
    <w:name w:val="Hyperlink"/>
    <w:uiPriority w:val="99"/>
    <w:unhideWhenUsed/>
    <w:rPr>
      <w:color w:val="467886" w:themeColor="hyperlink"/>
      <w:u w:val="single"/>
    </w:rPr>
  </w:style>
  <w:style w:type="paragraph" w:styleId="Index" w:customStyle="1">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styleId="NumberingSymbols" w:customStyle="1">
    <w:name w:val="Numbering Symbols"/>
    <w:qFormat/>
  </w:style>
  <w:style w:type="character" w:styleId="HeadingCar" w:customStyle="1">
    <w:name w:val="Heading Car"/>
    <w:link w:val="Heading"/>
    <w:uiPriority w:val="10"/>
    <w:rsid w:val="00984053"/>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6196E-4F63-4283-8178-D4357F71C3D6}">
  <ds:schemaRefs>
    <ds:schemaRef ds:uri="http://schemas.microsoft.com/sharepoint/v3/contenttype/forms"/>
  </ds:schemaRefs>
</ds:datastoreItem>
</file>

<file path=customXml/itemProps2.xml><?xml version="1.0" encoding="utf-8"?>
<ds:datastoreItem xmlns:ds="http://schemas.openxmlformats.org/officeDocument/2006/customXml" ds:itemID="{E7592C24-9DA6-4103-B98F-FDFCA9B1DC79}">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A640D114-8118-4649-B22A-AE3D0735490B}"/>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Saibalwar</dc:creator>
  <cp:keywords/>
  <dc:description/>
  <cp:lastModifiedBy>Moray Nichol</cp:lastModifiedBy>
  <cp:revision>313</cp:revision>
  <dcterms:created xsi:type="dcterms:W3CDTF">2025-12-03T17:30:00Z</dcterms:created>
  <dcterms:modified xsi:type="dcterms:W3CDTF">2025-12-12T10:02:23Z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