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8569" w14:textId="7A469E1F" w:rsidR="008D4F66" w:rsidRDefault="00D42C2A">
      <w:pPr>
        <w:pStyle w:val="Title"/>
        <w:spacing w:before="120" w:after="160" w:line="360" w:lineRule="auto"/>
        <w:rPr>
          <w:rFonts w:ascii="Arial" w:hAnsi="Arial" w:cs="Arial"/>
          <w:b/>
          <w:bCs/>
          <w:sz w:val="26"/>
          <w:szCs w:val="26"/>
        </w:rPr>
      </w:pPr>
      <w:r>
        <w:rPr>
          <w:noProof/>
        </w:rPr>
        <w:drawing>
          <wp:inline distT="0" distB="0" distL="0" distR="0" wp14:anchorId="5D2BA958" wp14:editId="0889B0D4">
            <wp:extent cx="1847215" cy="475615"/>
            <wp:effectExtent l="0" t="0" r="635" b="635"/>
            <wp:docPr id="118911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215" cy="475615"/>
                    </a:xfrm>
                    <a:prstGeom prst="rect">
                      <a:avLst/>
                    </a:prstGeom>
                    <a:noFill/>
                  </pic:spPr>
                </pic:pic>
              </a:graphicData>
            </a:graphic>
          </wp:inline>
        </w:drawing>
      </w:r>
    </w:p>
    <w:p w14:paraId="25F55B31" w14:textId="12141762" w:rsidR="003A29EF" w:rsidRPr="00CF28F3" w:rsidRDefault="00EA3685" w:rsidP="00CF28F3">
      <w:pPr>
        <w:pStyle w:val="Title"/>
        <w:spacing w:before="120" w:after="160"/>
        <w:rPr>
          <w:rFonts w:ascii="Calibri" w:hAnsi="Calibri" w:cs="Calibri"/>
          <w:b/>
          <w:bCs/>
          <w:sz w:val="22"/>
          <w:szCs w:val="22"/>
        </w:rPr>
      </w:pPr>
      <w:r w:rsidRPr="00CF28F3">
        <w:rPr>
          <w:rFonts w:ascii="Calibri" w:hAnsi="Calibri" w:cs="Calibri"/>
          <w:b/>
          <w:bCs/>
          <w:sz w:val="22"/>
          <w:szCs w:val="22"/>
        </w:rPr>
        <w:t>Minutes - University Court</w:t>
      </w:r>
    </w:p>
    <w:p w14:paraId="37F59EC7" w14:textId="0F9381E6" w:rsidR="003A29EF" w:rsidRPr="00CF28F3" w:rsidRDefault="00EA3685" w:rsidP="00CF28F3">
      <w:pPr>
        <w:spacing w:after="0" w:line="240" w:lineRule="auto"/>
        <w:rPr>
          <w:rFonts w:ascii="Calibri" w:hAnsi="Calibri" w:cs="Calibri"/>
          <w:sz w:val="22"/>
          <w:szCs w:val="22"/>
        </w:rPr>
      </w:pPr>
      <w:r w:rsidRPr="5E26D3CD">
        <w:rPr>
          <w:rFonts w:ascii="Calibri" w:hAnsi="Calibri" w:cs="Calibri"/>
          <w:sz w:val="22"/>
          <w:szCs w:val="22"/>
        </w:rPr>
        <w:t>1</w:t>
      </w:r>
      <w:r w:rsidR="5D92A8D5" w:rsidRPr="5E26D3CD">
        <w:rPr>
          <w:rFonts w:ascii="Calibri" w:hAnsi="Calibri" w:cs="Calibri"/>
          <w:sz w:val="22"/>
          <w:szCs w:val="22"/>
        </w:rPr>
        <w:t>6</w:t>
      </w:r>
      <w:r w:rsidRPr="5E26D3CD">
        <w:rPr>
          <w:rFonts w:ascii="Calibri" w:hAnsi="Calibri" w:cs="Calibri"/>
          <w:sz w:val="22"/>
          <w:szCs w:val="22"/>
        </w:rPr>
        <w:t>/06/2025 | 2</w:t>
      </w:r>
      <w:r w:rsidR="00D42C2A" w:rsidRPr="5E26D3CD">
        <w:rPr>
          <w:rFonts w:ascii="Calibri" w:hAnsi="Calibri" w:cs="Calibri"/>
          <w:sz w:val="22"/>
          <w:szCs w:val="22"/>
        </w:rPr>
        <w:t>.</w:t>
      </w:r>
      <w:r w:rsidRPr="5E26D3CD">
        <w:rPr>
          <w:rFonts w:ascii="Calibri" w:hAnsi="Calibri" w:cs="Calibri"/>
          <w:sz w:val="22"/>
          <w:szCs w:val="22"/>
        </w:rPr>
        <w:t xml:space="preserve">00 </w:t>
      </w:r>
      <w:r w:rsidR="00D42C2A" w:rsidRPr="5E26D3CD">
        <w:rPr>
          <w:rFonts w:ascii="Calibri" w:hAnsi="Calibri" w:cs="Calibri"/>
          <w:sz w:val="22"/>
          <w:szCs w:val="22"/>
        </w:rPr>
        <w:t>pm</w:t>
      </w:r>
      <w:r w:rsidR="00684329" w:rsidRPr="5E26D3CD">
        <w:rPr>
          <w:rFonts w:ascii="Calibri" w:hAnsi="Calibri" w:cs="Calibri"/>
          <w:sz w:val="22"/>
          <w:szCs w:val="22"/>
        </w:rPr>
        <w:t xml:space="preserve"> to 4.</w:t>
      </w:r>
      <w:r w:rsidR="001A388E" w:rsidRPr="5E26D3CD">
        <w:rPr>
          <w:rFonts w:ascii="Calibri" w:hAnsi="Calibri" w:cs="Calibri"/>
          <w:sz w:val="22"/>
          <w:szCs w:val="22"/>
        </w:rPr>
        <w:t xml:space="preserve">00pm </w:t>
      </w:r>
    </w:p>
    <w:p w14:paraId="6E96E04D" w14:textId="77777777" w:rsidR="003A29EF" w:rsidRPr="00CF28F3" w:rsidRDefault="00EA3685" w:rsidP="00CF28F3">
      <w:pPr>
        <w:spacing w:after="0" w:line="240" w:lineRule="auto"/>
        <w:rPr>
          <w:rFonts w:ascii="Calibri" w:hAnsi="Calibri" w:cs="Calibri"/>
          <w:sz w:val="22"/>
          <w:szCs w:val="22"/>
        </w:rPr>
      </w:pPr>
      <w:r w:rsidRPr="00CF28F3">
        <w:rPr>
          <w:rFonts w:ascii="Calibri" w:hAnsi="Calibri" w:cs="Calibri"/>
          <w:sz w:val="22"/>
          <w:szCs w:val="22"/>
        </w:rPr>
        <w:t>Stirling Court Hotel</w:t>
      </w:r>
    </w:p>
    <w:p w14:paraId="3210D52C" w14:textId="624CC8C4" w:rsidR="00520BF5" w:rsidRPr="00CF28F3" w:rsidRDefault="00520BF5" w:rsidP="00CF28F3">
      <w:pPr>
        <w:spacing w:after="0" w:line="240" w:lineRule="auto"/>
        <w:rPr>
          <w:rFonts w:ascii="Calibri" w:hAnsi="Calibri" w:cs="Calibri"/>
          <w:sz w:val="22"/>
          <w:szCs w:val="22"/>
        </w:rPr>
      </w:pPr>
    </w:p>
    <w:p w14:paraId="0D6248D8" w14:textId="3AB083A2" w:rsidR="00D04DDF" w:rsidRPr="00CF28F3" w:rsidRDefault="00D04DDF" w:rsidP="00CF28F3">
      <w:pPr>
        <w:spacing w:after="0" w:line="240" w:lineRule="auto"/>
        <w:jc w:val="both"/>
        <w:rPr>
          <w:rFonts w:ascii="Calibri" w:hAnsi="Calibri" w:cs="Calibri"/>
          <w:b/>
          <w:bCs/>
          <w:sz w:val="22"/>
          <w:szCs w:val="22"/>
        </w:rPr>
      </w:pPr>
      <w:r w:rsidRPr="00CF28F3">
        <w:rPr>
          <w:rFonts w:ascii="Calibri" w:hAnsi="Calibri" w:cs="Calibri"/>
          <w:b/>
          <w:bCs/>
          <w:sz w:val="22"/>
          <w:szCs w:val="22"/>
        </w:rPr>
        <w:t xml:space="preserve">Present </w:t>
      </w:r>
    </w:p>
    <w:p w14:paraId="2C4448A2"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Mr Harry Adam (Chair), Professor Kirstie Blair, Ms Pamela Crawford, Mr Gary Fleming, Ms Ellie Hammond, Ms Susan Gordon Hardy, Mr Hamish Grossart, Mr Graham Hastie, Mr Douglas Kearney, Dr Deborah Keith, Professor Malcolm MacLeod, Ms Lynne Marr, Professor Sir Gerry McCormac, Ms Catriona Morrison, Professor Gozde Ozakinci, Ms Justine Pedussel, Mr William Stancer and Professor Clare Wilson.</w:t>
      </w:r>
    </w:p>
    <w:p w14:paraId="3643C9AB" w14:textId="77777777" w:rsidR="0001631E" w:rsidRPr="00CF28F3" w:rsidRDefault="0001631E" w:rsidP="00CF28F3">
      <w:pPr>
        <w:tabs>
          <w:tab w:val="left" w:pos="6461"/>
        </w:tabs>
        <w:spacing w:after="0" w:line="240" w:lineRule="auto"/>
        <w:jc w:val="both"/>
        <w:rPr>
          <w:rFonts w:ascii="Calibri" w:hAnsi="Calibri" w:cs="Calibri"/>
          <w:sz w:val="22"/>
          <w:szCs w:val="22"/>
        </w:rPr>
      </w:pPr>
    </w:p>
    <w:p w14:paraId="0615559D" w14:textId="77777777" w:rsidR="003A29EF" w:rsidRPr="00CF28F3" w:rsidRDefault="00EA3685" w:rsidP="00751343">
      <w:pPr>
        <w:spacing w:before="120" w:after="0" w:line="240" w:lineRule="auto"/>
        <w:jc w:val="both"/>
        <w:rPr>
          <w:rFonts w:ascii="Calibri" w:hAnsi="Calibri" w:cs="Calibri"/>
          <w:b/>
          <w:bCs/>
          <w:sz w:val="22"/>
          <w:szCs w:val="22"/>
        </w:rPr>
      </w:pPr>
      <w:r w:rsidRPr="00CF28F3">
        <w:rPr>
          <w:rFonts w:ascii="Calibri" w:hAnsi="Calibri" w:cs="Calibri"/>
          <w:b/>
          <w:bCs/>
          <w:sz w:val="22"/>
          <w:szCs w:val="22"/>
        </w:rPr>
        <w:t>In Attendance</w:t>
      </w:r>
    </w:p>
    <w:p w14:paraId="1672B1DA"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Ms Lynsey Dickson, Mr Graeme Duff, Ms Rose Edwards, Ms Cathy Gallagher, Ms Jennifer Harrison, Ms Karen Lawson, Ms Joanna Morrow, Mr Moray Nichol (Clerk), Ms Eileen Schofield, Professor Helen Scott, Professor Terri Scott, Mr Liam Spillane, Dr David Telford, Professor Paul Townsend, Professor Neville Wylie and Dr Lee Zhuang.     </w:t>
      </w:r>
    </w:p>
    <w:p w14:paraId="3D6DCC17" w14:textId="77777777" w:rsidR="00BE23AF" w:rsidRPr="00CF28F3" w:rsidRDefault="00BE23AF" w:rsidP="00CF28F3">
      <w:pPr>
        <w:spacing w:after="0" w:line="240" w:lineRule="auto"/>
        <w:jc w:val="both"/>
        <w:rPr>
          <w:rFonts w:ascii="Calibri" w:hAnsi="Calibri" w:cs="Calibri"/>
          <w:sz w:val="22"/>
          <w:szCs w:val="22"/>
        </w:rPr>
      </w:pPr>
    </w:p>
    <w:p w14:paraId="606C6651"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1. Welcome and Apologies</w:t>
      </w:r>
    </w:p>
    <w:p w14:paraId="469CD56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Apologies for absence were received from Mr Kenny Fraser, Dr Magdalena Ietswaart, Professor Julie Tinson and Lord Provost Elaine Watterson.  </w:t>
      </w:r>
    </w:p>
    <w:p w14:paraId="6E7BEAA2"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096CADFC" w14:textId="41C8DC74"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appointments recommended by Governance and Nominations contained in the report at Item 18.  The Chair subsequently welcomed Ms Ellie Hammond (Students’ Union Vice President Communities) to the meeting following her appointment to Court.  The Chair congratulated Ms Justine Pedussel (Students’ Union President) on her reappointment to University Court.   </w:t>
      </w:r>
    </w:p>
    <w:p w14:paraId="63E4A9C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3353D02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The Chair thanked Ms Catriona Morrison for her contribution and commitment to the University of Stirling.  Catriona served as a Lay Member of Court from 2016, was appointed Chair of University Research Ethics Committee in August 2022 and was a member of Governance and Nominations Committee.</w:t>
      </w:r>
    </w:p>
    <w:p w14:paraId="4F6584BE"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344E3F92"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The Chair congratulated Professor Kirstie Blair on her appointment as Deputy Principal (Academic).  It was confirmed that Professor Kirstie Blair would assume responsibility for shaping and overseeing academic policies, resources, strategies and initiatives from 1 July 2025.</w:t>
      </w:r>
    </w:p>
    <w:p w14:paraId="695414B0" w14:textId="77777777" w:rsidR="00BE23AF" w:rsidRPr="00CF28F3" w:rsidRDefault="00BE23AF" w:rsidP="00CF28F3">
      <w:pPr>
        <w:spacing w:after="0" w:line="240" w:lineRule="auto"/>
        <w:jc w:val="both"/>
        <w:rPr>
          <w:rFonts w:ascii="Calibri" w:hAnsi="Calibri" w:cs="Calibri"/>
          <w:sz w:val="22"/>
          <w:szCs w:val="22"/>
        </w:rPr>
      </w:pPr>
    </w:p>
    <w:p w14:paraId="6BFD7B4B"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2. Declarations of Interest</w:t>
      </w:r>
    </w:p>
    <w:p w14:paraId="1C238AB3"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There were no new declarations of interest. </w:t>
      </w:r>
    </w:p>
    <w:p w14:paraId="45E88EFC" w14:textId="77777777" w:rsidR="00BE23AF" w:rsidRPr="00CF28F3" w:rsidRDefault="00BE23AF" w:rsidP="00CF28F3">
      <w:pPr>
        <w:spacing w:after="0" w:line="240" w:lineRule="auto"/>
        <w:jc w:val="both"/>
        <w:rPr>
          <w:rFonts w:ascii="Calibri" w:hAnsi="Calibri" w:cs="Calibri"/>
          <w:sz w:val="22"/>
          <w:szCs w:val="22"/>
        </w:rPr>
      </w:pPr>
    </w:p>
    <w:p w14:paraId="61060138"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3. Minutes</w:t>
      </w:r>
    </w:p>
    <w:p w14:paraId="4B0B29BB"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B013B9">
        <w:rPr>
          <w:rFonts w:ascii="Calibri" w:hAnsi="Calibri" w:cs="Calibri"/>
          <w:sz w:val="22"/>
          <w:szCs w:val="22"/>
          <w:u w:val="single"/>
        </w:rPr>
        <w:t>approved</w:t>
      </w:r>
      <w:r w:rsidRPr="00CF28F3">
        <w:rPr>
          <w:rFonts w:ascii="Calibri" w:hAnsi="Calibri" w:cs="Calibri"/>
          <w:sz w:val="22"/>
          <w:szCs w:val="22"/>
        </w:rPr>
        <w:t xml:space="preserve"> the minutes of the meeting held on 25 March 2025. </w:t>
      </w:r>
    </w:p>
    <w:p w14:paraId="35746322" w14:textId="77777777" w:rsidR="00BE23AF" w:rsidRPr="00CF28F3" w:rsidRDefault="00BE23AF" w:rsidP="00CF28F3">
      <w:pPr>
        <w:spacing w:after="0" w:line="240" w:lineRule="auto"/>
        <w:jc w:val="both"/>
        <w:rPr>
          <w:rFonts w:ascii="Calibri" w:hAnsi="Calibri" w:cs="Calibri"/>
          <w:sz w:val="22"/>
          <w:szCs w:val="22"/>
        </w:rPr>
      </w:pPr>
    </w:p>
    <w:p w14:paraId="422AA6EA"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4. Matters Arising Not Otherwise on the Agenda</w:t>
      </w:r>
    </w:p>
    <w:p w14:paraId="18E6E712" w14:textId="77777777" w:rsidR="003A29EF" w:rsidRPr="00CF28F3" w:rsidRDefault="00EA3685" w:rsidP="00CF28F3">
      <w:pPr>
        <w:spacing w:after="0" w:line="240" w:lineRule="auto"/>
        <w:jc w:val="both"/>
        <w:rPr>
          <w:rFonts w:ascii="Calibri" w:hAnsi="Calibri" w:cs="Calibri"/>
          <w:sz w:val="22"/>
          <w:szCs w:val="22"/>
        </w:rPr>
      </w:pPr>
      <w:r w:rsidRPr="7849737B">
        <w:rPr>
          <w:rFonts w:ascii="Calibri" w:hAnsi="Calibri" w:cs="Calibri"/>
          <w:sz w:val="22"/>
          <w:szCs w:val="22"/>
        </w:rPr>
        <w:t>There were no matters arising. </w:t>
      </w:r>
    </w:p>
    <w:p w14:paraId="0EE28EA3" w14:textId="56FC11B6" w:rsidR="7849737B" w:rsidRDefault="7849737B" w:rsidP="7849737B">
      <w:pPr>
        <w:spacing w:after="0" w:line="240" w:lineRule="auto"/>
        <w:jc w:val="both"/>
        <w:rPr>
          <w:rFonts w:ascii="Calibri" w:hAnsi="Calibri" w:cs="Calibri"/>
          <w:sz w:val="22"/>
          <w:szCs w:val="22"/>
        </w:rPr>
      </w:pPr>
    </w:p>
    <w:p w14:paraId="59836706" w14:textId="2E6FC0AB" w:rsidR="7849737B" w:rsidRDefault="7849737B" w:rsidP="7849737B">
      <w:pPr>
        <w:spacing w:after="0" w:line="240" w:lineRule="auto"/>
        <w:jc w:val="both"/>
        <w:rPr>
          <w:rFonts w:ascii="Calibri" w:hAnsi="Calibri" w:cs="Calibri"/>
          <w:sz w:val="22"/>
          <w:szCs w:val="22"/>
        </w:rPr>
      </w:pPr>
    </w:p>
    <w:p w14:paraId="7F81ACC8"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5. Key Developments in the External Environment</w:t>
      </w:r>
    </w:p>
    <w:p w14:paraId="5B4459A7"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 report on recent developments in the external environment that included coverage of an announcement of a White Paper on immigration and its implications for higher education,  an overview of the SFC Final Funding Allocations for 2025/26, an update on the Office for Students Annual Financial Sustainability report, changes to Universities Scotland’s Fair Admissions Guides, changes to the Higher Education (Freedom of Speech) Act and geopolitical issues. </w:t>
      </w:r>
    </w:p>
    <w:p w14:paraId="09AF38F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54D87AF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Members discussed the investigation into financial oversight and decision making at the University of Dundee, it was confirmed that the report by Professor Pamela Gilles was expected to be presented to the Scottish Funding Council on 19 June 2025. </w:t>
      </w:r>
    </w:p>
    <w:p w14:paraId="15AA318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757A9E9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Members noted a summary of recent institutional successes that included winning three major categories at the Scottish Student Sport Awards.  Olympian Angharad Evans was awarded Female Athlete of the Year, High-Performance Swim Coach Bradley Hay was named Coach of the Year, and Executive Director of Sport Cathy Gallagher was awarded the Honorary President’s Medal.  </w:t>
      </w:r>
    </w:p>
    <w:p w14:paraId="01512BE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0F16324F" w14:textId="56543E79"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Additionally, Stirling's Human Resources and Organisational Development Team won an award from Universities Human Resources (UHR) for Organisational Transformation, Effectiveness and Performance</w:t>
      </w:r>
      <w:r w:rsidR="00CA19C1">
        <w:rPr>
          <w:rFonts w:ascii="Calibri" w:hAnsi="Calibri" w:cs="Calibri"/>
          <w:sz w:val="22"/>
          <w:szCs w:val="22"/>
        </w:rPr>
        <w:t xml:space="preserve">.  </w:t>
      </w:r>
      <w:r w:rsidRPr="00CF28F3">
        <w:rPr>
          <w:rFonts w:ascii="Calibri" w:hAnsi="Calibri" w:cs="Calibri"/>
          <w:sz w:val="22"/>
          <w:szCs w:val="22"/>
        </w:rPr>
        <w:t>Student Skills and Employability won a National Graduate Recruitment award for sustainability in talent and education, and the Social Work team won a Herald Higher Education award for research project of the year.</w:t>
      </w:r>
    </w:p>
    <w:p w14:paraId="0DA70637"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3E19220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recent developments in the external environment.  </w:t>
      </w:r>
    </w:p>
    <w:p w14:paraId="760A2D69"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INSTITUTIONAL PLANNING AND BUDGETING</w:t>
      </w:r>
    </w:p>
    <w:p w14:paraId="0A4F2635" w14:textId="77777777" w:rsidR="003A29EF" w:rsidRPr="00CF28F3" w:rsidRDefault="00EA3685" w:rsidP="00BE23AF">
      <w:pPr>
        <w:spacing w:before="120" w:after="0" w:line="240" w:lineRule="auto"/>
        <w:jc w:val="both"/>
        <w:rPr>
          <w:rFonts w:ascii="Calibri" w:hAnsi="Calibri" w:cs="Calibri"/>
          <w:b/>
          <w:bCs/>
          <w:sz w:val="22"/>
          <w:szCs w:val="22"/>
        </w:rPr>
      </w:pPr>
      <w:r w:rsidRPr="00CF28F3">
        <w:rPr>
          <w:rFonts w:ascii="Calibri" w:hAnsi="Calibri" w:cs="Calibri"/>
          <w:b/>
          <w:bCs/>
          <w:sz w:val="22"/>
          <w:szCs w:val="22"/>
        </w:rPr>
        <w:t>6. Quarter Three Performance Report</w:t>
      </w:r>
    </w:p>
    <w:p w14:paraId="71976E0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the Performance Report that was underpinned by the Quarter Three management accounts and associated indicative financial forecast position for the academic year 2024-25.  Additionally, the report presented a review of performance against key indicators and risk associated with delivery of the institutional Strategic Plan. </w:t>
      </w:r>
    </w:p>
    <w:p w14:paraId="4662417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5BF95613"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It was confirmed that the Quarter Three management accounts presented a forecast operating surplus of £72k, in line with the Quarter Two position, despite a competitive student recruitment environment and the associated challenges with tuition fee income capture and the evolving nature/timing of research grant income.  </w:t>
      </w:r>
    </w:p>
    <w:p w14:paraId="4B8484D5"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1BB11658" w14:textId="4A072B85"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Members discussed the review that was undertaken in advance of the financial year-end, of both the useful economic life of fixed assets and the University's capitalisation threshold.  It was confirmed that the impact of the former had been a reduction in annual depreciation costs, and </w:t>
      </w:r>
      <w:proofErr w:type="gramStart"/>
      <w:r w:rsidRPr="00CF28F3">
        <w:rPr>
          <w:rFonts w:ascii="Calibri" w:hAnsi="Calibri" w:cs="Calibri"/>
          <w:sz w:val="22"/>
          <w:szCs w:val="22"/>
        </w:rPr>
        <w:t>as a result of</w:t>
      </w:r>
      <w:proofErr w:type="gramEnd"/>
      <w:r w:rsidRPr="00CF28F3">
        <w:rPr>
          <w:rFonts w:ascii="Calibri" w:hAnsi="Calibri" w:cs="Calibri"/>
          <w:sz w:val="22"/>
          <w:szCs w:val="22"/>
        </w:rPr>
        <w:t xml:space="preserve"> the latter expenditure had been reclassified from Other Operating Expenditure (OOE) to capital.  It was confirmed this had increased the capital plan by £1.1m over the period 2024-28 and reduced the OOE budget.  All capitalised costs were fully compliant with the University's capitalisation policies.  It was confirmed that the Capital and Major Infrastructure Plan presented a reduction of £0.8m for 2024-25 primarily due to the release of contingency budget on the Muirhead Refurbishment project, completed in March 2025.  </w:t>
      </w:r>
    </w:p>
    <w:p w14:paraId="4F8F56C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03B686D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Members discussed the ongoing financial pressures the sector was facing due to the continuing real-terms decline in the unit of teaching resource as well as impacts from the collective UK Governments’ policy approach toward international students.  It was confirmed that the University’s core on-campus student population for 2024-25 was circa -7% lower year-on-year due to the prevailing recruitment </w:t>
      </w:r>
      <w:r w:rsidRPr="00CF28F3">
        <w:rPr>
          <w:rFonts w:ascii="Calibri" w:hAnsi="Calibri" w:cs="Calibri"/>
          <w:sz w:val="22"/>
          <w:szCs w:val="22"/>
        </w:rPr>
        <w:lastRenderedPageBreak/>
        <w:t>environment for the autumn and spring intake windows, and the impact of a smaller cohort of spring entrants continuing study vs. the year prior.  At the Quarter Three position, it was confirmed that the total tuition fee income was forecast to be £59.7m, in line with the Quarter Two forecast.  </w:t>
      </w:r>
    </w:p>
    <w:p w14:paraId="649CC1F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337933B3"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Members discussed the 2025/26 Final Funding Allocations announced by the Scottish Funding Council and it was confirmed that ongoing vigilance and proactive management of the operating position remained essential to support financial sustainability, and that the cost control measures in place would require further action to deliver the remaining savings required. </w:t>
      </w:r>
    </w:p>
    <w:p w14:paraId="10EF996B"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6DE4F5AB"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Quarter Three Performance Report.   </w:t>
      </w:r>
    </w:p>
    <w:p w14:paraId="42E51417" w14:textId="77777777" w:rsidR="00BE23AF" w:rsidRPr="00CF28F3" w:rsidRDefault="00BE23AF" w:rsidP="00CF28F3">
      <w:pPr>
        <w:spacing w:after="0" w:line="240" w:lineRule="auto"/>
        <w:jc w:val="both"/>
        <w:rPr>
          <w:rFonts w:ascii="Calibri" w:hAnsi="Calibri" w:cs="Calibri"/>
          <w:sz w:val="22"/>
          <w:szCs w:val="22"/>
        </w:rPr>
      </w:pPr>
    </w:p>
    <w:p w14:paraId="6AEF7511"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8. Education and Student Experience Strategy</w:t>
      </w:r>
    </w:p>
    <w:p w14:paraId="77083A23" w14:textId="77777777" w:rsidR="003A29EF" w:rsidRPr="00CF28F3" w:rsidRDefault="00EA3685" w:rsidP="00C45106">
      <w:pPr>
        <w:spacing w:after="0" w:line="240" w:lineRule="auto"/>
        <w:jc w:val="both"/>
        <w:rPr>
          <w:rFonts w:ascii="Calibri" w:hAnsi="Calibri" w:cs="Calibri"/>
          <w:sz w:val="22"/>
          <w:szCs w:val="22"/>
        </w:rPr>
      </w:pPr>
      <w:r w:rsidRPr="00CF28F3">
        <w:rPr>
          <w:rFonts w:ascii="Calibri" w:hAnsi="Calibri" w:cs="Calibri"/>
          <w:sz w:val="22"/>
          <w:szCs w:val="22"/>
        </w:rPr>
        <w:t>Court received the Education and Student Experience Strategy and a presentation that provided an overview of its key priorities and objectives.  It was confirmed that the new Education and Student Experience Strategy was aligned with the University’s priorities set out in its Strategic Plan and the existing enabling strategies.   </w:t>
      </w:r>
    </w:p>
    <w:p w14:paraId="1D5BCD6B" w14:textId="77777777" w:rsidR="003A29EF" w:rsidRPr="00CF28F3" w:rsidRDefault="00EA3685" w:rsidP="00C45106">
      <w:pPr>
        <w:spacing w:after="0" w:line="240" w:lineRule="auto"/>
        <w:jc w:val="both"/>
        <w:rPr>
          <w:rFonts w:ascii="Calibri" w:hAnsi="Calibri" w:cs="Calibri"/>
          <w:sz w:val="22"/>
          <w:szCs w:val="22"/>
        </w:rPr>
      </w:pPr>
      <w:r w:rsidRPr="00CF28F3">
        <w:rPr>
          <w:rFonts w:ascii="Calibri" w:hAnsi="Calibri" w:cs="Calibri"/>
          <w:sz w:val="22"/>
          <w:szCs w:val="22"/>
        </w:rPr>
        <w:t> </w:t>
      </w:r>
    </w:p>
    <w:p w14:paraId="27470554" w14:textId="77777777" w:rsidR="003A29EF" w:rsidRPr="00CF28F3" w:rsidRDefault="00EA3685" w:rsidP="00C45106">
      <w:pPr>
        <w:spacing w:after="0" w:line="240" w:lineRule="auto"/>
        <w:jc w:val="both"/>
        <w:rPr>
          <w:rFonts w:ascii="Calibri" w:hAnsi="Calibri" w:cs="Calibri"/>
          <w:sz w:val="22"/>
          <w:szCs w:val="22"/>
        </w:rPr>
      </w:pPr>
      <w:r w:rsidRPr="00CF28F3">
        <w:rPr>
          <w:rFonts w:ascii="Calibri" w:hAnsi="Calibri" w:cs="Calibri"/>
          <w:sz w:val="22"/>
          <w:szCs w:val="22"/>
        </w:rPr>
        <w:t>Members discussed the consultation process undertaken during the development of the strategy, the objectives of the strategy centred around the improvement of key performance indicators that included student satisfaction and student outcomes, and the proposed approach to create a refreshed portfolio with a curricula fit for the future in which the development of graduate skills was further embedded into its structure.     </w:t>
      </w:r>
    </w:p>
    <w:p w14:paraId="3BC5EC03" w14:textId="77777777" w:rsidR="003A29EF" w:rsidRPr="00CF28F3" w:rsidRDefault="00EA3685" w:rsidP="00C45106">
      <w:pPr>
        <w:spacing w:after="0" w:line="240" w:lineRule="auto"/>
        <w:jc w:val="both"/>
        <w:rPr>
          <w:rFonts w:ascii="Calibri" w:hAnsi="Calibri" w:cs="Calibri"/>
          <w:sz w:val="22"/>
          <w:szCs w:val="22"/>
        </w:rPr>
      </w:pPr>
      <w:r w:rsidRPr="00CF28F3">
        <w:rPr>
          <w:rFonts w:ascii="Calibri" w:hAnsi="Calibri" w:cs="Calibri"/>
          <w:sz w:val="22"/>
          <w:szCs w:val="22"/>
        </w:rPr>
        <w:t> </w:t>
      </w:r>
    </w:p>
    <w:p w14:paraId="26F29E29" w14:textId="77777777" w:rsidR="003A29EF" w:rsidRPr="00CF28F3" w:rsidRDefault="00EA3685" w:rsidP="00C45106">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Education and Student Experience Strategy.  </w:t>
      </w:r>
    </w:p>
    <w:p w14:paraId="35F0889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62CA5D08"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GOVERNANCE AND POLICY</w:t>
      </w:r>
    </w:p>
    <w:p w14:paraId="1FB4C0AA"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9. Public Sector Equality Duty and Gender Pay Gap Report</w:t>
      </w:r>
    </w:p>
    <w:p w14:paraId="5CBEAA89" w14:textId="12F5B8A6"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xml:space="preserve">Court received </w:t>
      </w:r>
      <w:r w:rsidR="001F2F8A">
        <w:rPr>
          <w:rFonts w:ascii="Calibri" w:hAnsi="Calibri" w:cs="Calibri"/>
          <w:sz w:val="22"/>
          <w:szCs w:val="22"/>
        </w:rPr>
        <w:t>a</w:t>
      </w:r>
      <w:r w:rsidRPr="00CF28F3">
        <w:rPr>
          <w:rFonts w:ascii="Calibri" w:hAnsi="Calibri" w:cs="Calibri"/>
          <w:sz w:val="22"/>
          <w:szCs w:val="22"/>
        </w:rPr>
        <w:t xml:space="preserve"> Public Sector Equality Duty and Gender Pay Gap report that provided an overview of the Public Sector Equality Duty (PSED), specific statutory reporting obligations under the Equality Act 2010 (Specific </w:t>
      </w:r>
      <w:proofErr w:type="gramStart"/>
      <w:r w:rsidRPr="00CF28F3">
        <w:rPr>
          <w:rFonts w:ascii="Calibri" w:hAnsi="Calibri" w:cs="Calibri"/>
          <w:sz w:val="22"/>
          <w:szCs w:val="22"/>
        </w:rPr>
        <w:t>Duties)(</w:t>
      </w:r>
      <w:proofErr w:type="gramEnd"/>
      <w:r w:rsidRPr="00CF28F3">
        <w:rPr>
          <w:rFonts w:ascii="Calibri" w:hAnsi="Calibri" w:cs="Calibri"/>
          <w:sz w:val="22"/>
          <w:szCs w:val="22"/>
        </w:rPr>
        <w:t>Scotland) Regulation 2016 and the context of the National Equality Outcomes for Universities.  </w:t>
      </w:r>
    </w:p>
    <w:p w14:paraId="6B515302"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w:t>
      </w:r>
    </w:p>
    <w:p w14:paraId="13B71ECA"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Members discussed progress on mainstreaming the equality duty for the period 2021-2025, the revised statement on equal pay and the draft set of Equality Outcomes for the period 2025-2029. </w:t>
      </w:r>
    </w:p>
    <w:p w14:paraId="4253EF77"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w:t>
      </w:r>
    </w:p>
    <w:p w14:paraId="3965CBFE"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draft Equality Mainstreaming report for 2021-2025, the draft Equality Outcomes for the period 2025-2029, and a revised statement on equal pay for publication.  </w:t>
      </w:r>
    </w:p>
    <w:p w14:paraId="2D6473E8"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w:t>
      </w:r>
    </w:p>
    <w:p w14:paraId="29BBE099" w14:textId="77777777" w:rsidR="003A29EF" w:rsidRPr="00CF28F3" w:rsidRDefault="00EA3685" w:rsidP="009C5AE3">
      <w:pPr>
        <w:spacing w:after="0" w:line="240" w:lineRule="auto"/>
        <w:jc w:val="both"/>
        <w:rPr>
          <w:rFonts w:ascii="Calibri" w:hAnsi="Calibri" w:cs="Calibri"/>
          <w:sz w:val="22"/>
          <w:szCs w:val="22"/>
        </w:rPr>
      </w:pPr>
      <w:r w:rsidRPr="00CF28F3">
        <w:rPr>
          <w:rFonts w:ascii="Calibri" w:hAnsi="Calibri" w:cs="Calibri"/>
          <w:sz w:val="22"/>
          <w:szCs w:val="22"/>
        </w:rPr>
        <w:t xml:space="preserve">Additionally, Court </w:t>
      </w:r>
      <w:r w:rsidRPr="00CF28F3">
        <w:rPr>
          <w:rFonts w:ascii="Calibri" w:hAnsi="Calibri" w:cs="Calibri"/>
          <w:sz w:val="22"/>
          <w:szCs w:val="22"/>
          <w:u w:val="single"/>
        </w:rPr>
        <w:t>noted</w:t>
      </w:r>
      <w:r w:rsidRPr="00CF28F3">
        <w:rPr>
          <w:rFonts w:ascii="Calibri" w:hAnsi="Calibri" w:cs="Calibri"/>
          <w:sz w:val="22"/>
          <w:szCs w:val="22"/>
        </w:rPr>
        <w:t xml:space="preserve"> the Gender Pay Gap Report 2025.  </w:t>
      </w:r>
    </w:p>
    <w:p w14:paraId="30E418BB" w14:textId="77777777" w:rsidR="00207A03" w:rsidRDefault="00207A03" w:rsidP="00207A03">
      <w:pPr>
        <w:spacing w:line="240" w:lineRule="auto"/>
        <w:jc w:val="both"/>
        <w:rPr>
          <w:rFonts w:ascii="Calibri" w:hAnsi="Calibri" w:cs="Calibri"/>
          <w:b/>
          <w:bCs/>
          <w:sz w:val="22"/>
          <w:szCs w:val="22"/>
        </w:rPr>
      </w:pPr>
    </w:p>
    <w:p w14:paraId="51046765" w14:textId="77777777" w:rsidR="003A29EF" w:rsidRPr="00CF28F3" w:rsidRDefault="00EA3685" w:rsidP="00207A03">
      <w:pPr>
        <w:spacing w:line="240" w:lineRule="auto"/>
        <w:jc w:val="both"/>
        <w:rPr>
          <w:rFonts w:ascii="Calibri" w:hAnsi="Calibri" w:cs="Calibri"/>
          <w:b/>
          <w:bCs/>
          <w:sz w:val="22"/>
          <w:szCs w:val="22"/>
        </w:rPr>
      </w:pPr>
      <w:r w:rsidRPr="00CF28F3">
        <w:rPr>
          <w:rFonts w:ascii="Calibri" w:hAnsi="Calibri" w:cs="Calibri"/>
          <w:b/>
          <w:bCs/>
          <w:sz w:val="22"/>
          <w:szCs w:val="22"/>
        </w:rPr>
        <w:t>10. Legislative Updates to Policies - Neonatal Care Leave and Pay</w:t>
      </w:r>
    </w:p>
    <w:p w14:paraId="42033B74"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Members received a paper that provided an overview of updated Maternity, Paternity, Adoption and Shared Parental Leave and Policies, all of which had been updated to reflect legislative changes that related to Neonatal care.</w:t>
      </w:r>
    </w:p>
    <w:p w14:paraId="696D69F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0ED5A797"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updated Maternity, Paternity, Adoption and Shared Parental Leave Policies for implementation to ensure compliance with the relevant legislation.</w:t>
      </w:r>
    </w:p>
    <w:p w14:paraId="72302A59"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6EF2E2C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recommended pay arrangements for Neonatal Care Leave.</w:t>
      </w:r>
    </w:p>
    <w:p w14:paraId="31CBAF0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lastRenderedPageBreak/>
        <w:t> </w:t>
      </w:r>
    </w:p>
    <w:p w14:paraId="2E2D0D73"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Neonatal Care Leave Policy. </w:t>
      </w:r>
    </w:p>
    <w:p w14:paraId="30529788" w14:textId="77777777" w:rsidR="00207A03" w:rsidRDefault="00207A03" w:rsidP="00207A03">
      <w:pPr>
        <w:spacing w:before="120" w:after="0" w:line="240" w:lineRule="auto"/>
        <w:jc w:val="both"/>
        <w:rPr>
          <w:rFonts w:ascii="Calibri" w:hAnsi="Calibri" w:cs="Calibri"/>
          <w:b/>
          <w:bCs/>
          <w:sz w:val="22"/>
          <w:szCs w:val="22"/>
        </w:rPr>
      </w:pPr>
    </w:p>
    <w:p w14:paraId="062D39A8"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 xml:space="preserve">11. Magna Charta </w:t>
      </w:r>
      <w:proofErr w:type="spellStart"/>
      <w:r w:rsidRPr="00CF28F3">
        <w:rPr>
          <w:rFonts w:ascii="Calibri" w:hAnsi="Calibri" w:cs="Calibri"/>
          <w:b/>
          <w:bCs/>
          <w:sz w:val="22"/>
          <w:szCs w:val="22"/>
        </w:rPr>
        <w:t>Universitatum</w:t>
      </w:r>
      <w:proofErr w:type="spellEnd"/>
    </w:p>
    <w:p w14:paraId="3CE45F46"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received a proposal to be a signatory to the Magna Charta </w:t>
      </w:r>
      <w:proofErr w:type="spellStart"/>
      <w:r w:rsidRPr="00CF28F3">
        <w:rPr>
          <w:rFonts w:ascii="Calibri" w:hAnsi="Calibri" w:cs="Calibri"/>
          <w:sz w:val="22"/>
          <w:szCs w:val="22"/>
        </w:rPr>
        <w:t>Universitatum</w:t>
      </w:r>
      <w:proofErr w:type="spellEnd"/>
      <w:r w:rsidRPr="00CF28F3">
        <w:rPr>
          <w:rFonts w:ascii="Calibri" w:hAnsi="Calibri" w:cs="Calibri"/>
          <w:sz w:val="22"/>
          <w:szCs w:val="22"/>
        </w:rPr>
        <w:t xml:space="preserve"> (MCU).  It was confirmed that the MCU was established in 1988 to assist universities to achieve improved levels of good governance and ‘self-understanding’. </w:t>
      </w:r>
    </w:p>
    <w:p w14:paraId="4A7717C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1E9746E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Members discussed the rationale for becoming a signatory and the commitment required from the undertaking.  It was confirmed that signing the MCU signified universities’ dedication to upholding the principles, responsibilities and values that included operating autonomously, free from all political influence and economic interests; to uphold, promote and protect academic values and freedom responsibly, and to engage with students effectively to enable them to become responsible democratic citizens.</w:t>
      </w:r>
    </w:p>
    <w:p w14:paraId="419A23A7"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670DF94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approved</w:t>
      </w:r>
      <w:r w:rsidRPr="00CF28F3">
        <w:rPr>
          <w:rFonts w:ascii="Calibri" w:hAnsi="Calibri" w:cs="Calibri"/>
          <w:sz w:val="22"/>
          <w:szCs w:val="22"/>
        </w:rPr>
        <w:t xml:space="preserve"> the recommendation to proceed with an application to participate in the Magna Charta Observatory network and sign the Magna Charta </w:t>
      </w:r>
      <w:proofErr w:type="spellStart"/>
      <w:r w:rsidRPr="00CF28F3">
        <w:rPr>
          <w:rFonts w:ascii="Calibri" w:hAnsi="Calibri" w:cs="Calibri"/>
          <w:sz w:val="22"/>
          <w:szCs w:val="22"/>
        </w:rPr>
        <w:t>Universitatum</w:t>
      </w:r>
      <w:proofErr w:type="spellEnd"/>
      <w:r w:rsidRPr="00CF28F3">
        <w:rPr>
          <w:rFonts w:ascii="Calibri" w:hAnsi="Calibri" w:cs="Calibri"/>
          <w:sz w:val="22"/>
          <w:szCs w:val="22"/>
        </w:rPr>
        <w:t xml:space="preserve"> (MCU 2020). </w:t>
      </w:r>
    </w:p>
    <w:p w14:paraId="78C83A59" w14:textId="77777777" w:rsidR="00207A03" w:rsidRDefault="00207A03" w:rsidP="00CF28F3">
      <w:pPr>
        <w:spacing w:before="120" w:line="240" w:lineRule="auto"/>
        <w:jc w:val="both"/>
        <w:rPr>
          <w:rFonts w:ascii="Calibri" w:hAnsi="Calibri" w:cs="Calibri"/>
          <w:b/>
          <w:bCs/>
          <w:sz w:val="22"/>
          <w:szCs w:val="22"/>
        </w:rPr>
      </w:pPr>
    </w:p>
    <w:p w14:paraId="44CD973C"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COLLABORATION</w:t>
      </w:r>
    </w:p>
    <w:p w14:paraId="1A7A8A10"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12. City Region and Growth Deal</w:t>
      </w:r>
    </w:p>
    <w:p w14:paraId="3EF78E7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an update on the City Region and Growth Deals and associated projects, which continued to operate within a challenging financial climate and a heightened focus on financial constraints across both the Scottish and UK governments.  </w:t>
      </w:r>
    </w:p>
    <w:p w14:paraId="1CB692F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b/>
          <w:sz w:val="22"/>
          <w:szCs w:val="22"/>
        </w:rPr>
        <w:t>                                                                                                                                       </w:t>
      </w:r>
      <w:r w:rsidRPr="00CF28F3">
        <w:rPr>
          <w:rFonts w:ascii="Calibri" w:hAnsi="Calibri" w:cs="Calibri"/>
          <w:sz w:val="22"/>
          <w:szCs w:val="22"/>
        </w:rPr>
        <w:t> </w:t>
      </w:r>
    </w:p>
    <w:p w14:paraId="7D548006"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the update report on the University’s programme of City Region and Growth Deal projects.                           </w:t>
      </w:r>
    </w:p>
    <w:p w14:paraId="192D0625"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ACTIVITY UPDATES</w:t>
      </w:r>
    </w:p>
    <w:p w14:paraId="6025F11F"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13. Students' Union Update</w:t>
      </w:r>
    </w:p>
    <w:p w14:paraId="7E507ED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an update on recent Students’ Union activities that included coverage of work that related to funding for a community food initiative, campus intercultural and community events, the improvement of democratic engagement, and action undertaken to empower students through an improved understanding of their rights, particularly in relation to housing and employment.  </w:t>
      </w:r>
    </w:p>
    <w:p w14:paraId="74536B0D"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036B68DA"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activity update from the Students’ Union. </w:t>
      </w:r>
    </w:p>
    <w:p w14:paraId="0A833912"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14. Staff and Employment Update</w:t>
      </w:r>
    </w:p>
    <w:p w14:paraId="400B488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an update on staff and employment matters that included coverage of negotiations related to the 2025/26 pay award, the Neonatal Care (Leave and Pay) Act 2023 and Mental Health Awareness Week.  </w:t>
      </w:r>
    </w:p>
    <w:p w14:paraId="7D7A3EC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52A6E428"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staff and employment update.   </w:t>
      </w:r>
    </w:p>
    <w:p w14:paraId="4668D883"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COMMITTEE REPORTS</w:t>
      </w:r>
    </w:p>
    <w:p w14:paraId="4D027D01"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t>15. Academic Council</w:t>
      </w:r>
    </w:p>
    <w:p w14:paraId="6AAB4685" w14:textId="77777777" w:rsidR="00DF5857"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report on the meeting of Academic Council held on 4 June 2025.</w:t>
      </w:r>
    </w:p>
    <w:p w14:paraId="53DD40F0" w14:textId="6ACA36F5"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34CD0C95" w14:textId="77777777" w:rsidR="008D5789" w:rsidRDefault="008D5789" w:rsidP="00CF28F3">
      <w:pPr>
        <w:spacing w:after="0" w:line="240" w:lineRule="auto"/>
        <w:jc w:val="both"/>
        <w:rPr>
          <w:rFonts w:ascii="Calibri" w:hAnsi="Calibri" w:cs="Calibri"/>
          <w:sz w:val="22"/>
          <w:szCs w:val="22"/>
        </w:rPr>
      </w:pPr>
    </w:p>
    <w:p w14:paraId="79C4094C" w14:textId="77777777" w:rsidR="008D5789" w:rsidRPr="00CF28F3" w:rsidRDefault="008D5789" w:rsidP="00CF28F3">
      <w:pPr>
        <w:spacing w:after="0" w:line="240" w:lineRule="auto"/>
        <w:jc w:val="both"/>
        <w:rPr>
          <w:rFonts w:ascii="Calibri" w:hAnsi="Calibri" w:cs="Calibri"/>
          <w:sz w:val="22"/>
          <w:szCs w:val="22"/>
        </w:rPr>
      </w:pPr>
    </w:p>
    <w:p w14:paraId="1C8F2DC3" w14:textId="77777777" w:rsidR="003A29EF" w:rsidRPr="00CF28F3" w:rsidRDefault="00EA3685" w:rsidP="00207A03">
      <w:pPr>
        <w:spacing w:before="120" w:after="0" w:line="240" w:lineRule="auto"/>
        <w:jc w:val="both"/>
        <w:rPr>
          <w:rFonts w:ascii="Calibri" w:hAnsi="Calibri" w:cs="Calibri"/>
          <w:b/>
          <w:bCs/>
          <w:sz w:val="22"/>
          <w:szCs w:val="22"/>
        </w:rPr>
      </w:pPr>
      <w:r w:rsidRPr="00CF28F3">
        <w:rPr>
          <w:rFonts w:ascii="Calibri" w:hAnsi="Calibri" w:cs="Calibri"/>
          <w:b/>
          <w:bCs/>
          <w:sz w:val="22"/>
          <w:szCs w:val="22"/>
        </w:rPr>
        <w:lastRenderedPageBreak/>
        <w:t>16. Joint Policy, Planning and Resources Committee</w:t>
      </w:r>
    </w:p>
    <w:p w14:paraId="39001E76"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a report from the meeting of Joint Policy, Planning and Resources Committee held on 27 May 2025 and </w:t>
      </w:r>
      <w:r w:rsidRPr="00CF28F3">
        <w:rPr>
          <w:rFonts w:ascii="Calibri" w:hAnsi="Calibri" w:cs="Calibri"/>
          <w:sz w:val="22"/>
          <w:szCs w:val="22"/>
          <w:u w:val="single"/>
        </w:rPr>
        <w:t>approved</w:t>
      </w:r>
      <w:r w:rsidRPr="00CF28F3">
        <w:rPr>
          <w:rFonts w:ascii="Calibri" w:hAnsi="Calibri" w:cs="Calibri"/>
          <w:sz w:val="22"/>
          <w:szCs w:val="22"/>
        </w:rPr>
        <w:t xml:space="preserve"> the Annual Safety, Security and Continuity Report. </w:t>
      </w:r>
    </w:p>
    <w:p w14:paraId="129C278E" w14:textId="77777777" w:rsidR="003A29EF" w:rsidRPr="00CF28F3" w:rsidRDefault="00EA3685" w:rsidP="00CF28F3">
      <w:pPr>
        <w:spacing w:after="0" w:line="240" w:lineRule="auto"/>
        <w:jc w:val="both"/>
        <w:rPr>
          <w:rFonts w:ascii="Calibri" w:hAnsi="Calibri" w:cs="Calibri"/>
          <w:sz w:val="22"/>
          <w:szCs w:val="22"/>
        </w:rPr>
      </w:pPr>
      <w:r w:rsidRPr="7849737B">
        <w:rPr>
          <w:rFonts w:ascii="Calibri" w:hAnsi="Calibri" w:cs="Calibri"/>
          <w:sz w:val="22"/>
          <w:szCs w:val="22"/>
        </w:rPr>
        <w:t> </w:t>
      </w:r>
    </w:p>
    <w:p w14:paraId="42E09F7B"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17. Audit Committee</w:t>
      </w:r>
    </w:p>
    <w:p w14:paraId="106DCF60"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 report on matters considered by Audit Committee at its meeting held on 20 May 2025 that included a progress update on Internal Audit activity.  It was confirmed that members of Audit Committee had emphasised the importance of maintaining positive progress by setting realistic timescales for the completion of internal audit follow-up actions and subsequently closing follow-up actions within agreed timescales.   </w:t>
      </w:r>
    </w:p>
    <w:p w14:paraId="2790C8A6"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2665BB77"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It was confirmed that Audit Committee had considered the revised Institutional Register of Strategic Risk, and that all twelve strategic risks identified were operating within their agreed risk tolerance positions.  It was confirmed that Audit Committee had discussed a summary of key actions to maintain or reduce institutional strategic risk associated with key areas pertaining to financial sustainability, liquidity, education and student experience and UKVI compliance. </w:t>
      </w:r>
    </w:p>
    <w:p w14:paraId="6ECDD213"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6DBD3790"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the report from Audit Committee of 20 May 2025.  </w:t>
      </w:r>
    </w:p>
    <w:p w14:paraId="41E761CA" w14:textId="77777777" w:rsidR="00DF5857" w:rsidRPr="00CF28F3" w:rsidRDefault="00DF5857" w:rsidP="00CF28F3">
      <w:pPr>
        <w:spacing w:after="0" w:line="240" w:lineRule="auto"/>
        <w:jc w:val="both"/>
        <w:rPr>
          <w:rFonts w:ascii="Calibri" w:hAnsi="Calibri" w:cs="Calibri"/>
          <w:sz w:val="22"/>
          <w:szCs w:val="22"/>
        </w:rPr>
      </w:pPr>
    </w:p>
    <w:p w14:paraId="01FA57BF"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18. Governance and Nominations Committee</w:t>
      </w:r>
    </w:p>
    <w:p w14:paraId="045413C1"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received a report from Governance and Nominations Committee and </w:t>
      </w:r>
      <w:r w:rsidRPr="00CF28F3">
        <w:rPr>
          <w:rFonts w:ascii="Calibri" w:hAnsi="Calibri" w:cs="Calibri"/>
          <w:sz w:val="22"/>
          <w:szCs w:val="22"/>
          <w:u w:val="single"/>
        </w:rPr>
        <w:t>approved</w:t>
      </w:r>
      <w:r w:rsidRPr="00CF28F3">
        <w:rPr>
          <w:rFonts w:ascii="Calibri" w:hAnsi="Calibri" w:cs="Calibri"/>
          <w:sz w:val="22"/>
          <w:szCs w:val="22"/>
        </w:rPr>
        <w:t xml:space="preserve"> the recommended appointments.  </w:t>
      </w:r>
    </w:p>
    <w:p w14:paraId="4EC49DD9" w14:textId="77777777" w:rsidR="00DF5857" w:rsidRPr="00CF28F3" w:rsidRDefault="00DF5857" w:rsidP="00CF28F3">
      <w:pPr>
        <w:spacing w:after="0" w:line="240" w:lineRule="auto"/>
        <w:jc w:val="both"/>
        <w:rPr>
          <w:rFonts w:ascii="Calibri" w:hAnsi="Calibri" w:cs="Calibri"/>
          <w:sz w:val="22"/>
          <w:szCs w:val="22"/>
        </w:rPr>
      </w:pPr>
    </w:p>
    <w:p w14:paraId="23C97DC3"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19. Combined Joint Negotiating and Consultation Committee (CJNCC)</w:t>
      </w:r>
    </w:p>
    <w:p w14:paraId="7AB732D1"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Court received an annual report from Combined Joint Negotiating and Consultation Committee for 2024/25 that highlighted areas of strategic importance the committee had focused on.  It was confirmed that regular updates for the committee had included the challenging planning context due to externally driven factors. Discussions had also taken place on funding uncertainties, new Home Office policies and efforts to enhance the student experience.  Members had also discussed policy development, workload models, and the findings of the Stress at Work surveys carried out by Unison and UCU. </w:t>
      </w:r>
    </w:p>
    <w:p w14:paraId="71CA3204"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7E768643"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annual report from Combined Joint Negotiating and Consultation Committee for 2024/25. </w:t>
      </w:r>
    </w:p>
    <w:p w14:paraId="59CE33D8" w14:textId="69D3BA85" w:rsidR="00DF5857" w:rsidRPr="00CF28F3" w:rsidRDefault="00DF5857" w:rsidP="3E6E3D2E">
      <w:pPr>
        <w:spacing w:after="0" w:line="240" w:lineRule="auto"/>
        <w:jc w:val="both"/>
        <w:rPr>
          <w:rFonts w:ascii="Calibri" w:hAnsi="Calibri" w:cs="Calibri"/>
          <w:sz w:val="22"/>
          <w:szCs w:val="22"/>
        </w:rPr>
      </w:pPr>
    </w:p>
    <w:p w14:paraId="049137BC"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20. Academic Promotions Committee (APC)</w:t>
      </w:r>
    </w:p>
    <w:p w14:paraId="507EB08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received an annual report from Academic Promotions Committee.  Members discussed outcomes of the academic session 2023/24 and development activity implemented to support the promotions process.   It was confirmed that overall gender balance of successful applicants had increased from 58% identifying as female in 2023/24 to 65% in 2024/25.  Work undertaken to support and encourage female staff had contributed to a female representation of 49% within senior academic roles (Grade 9 and above) at the University as </w:t>
      </w:r>
      <w:proofErr w:type="gramStart"/>
      <w:r w:rsidRPr="00CF28F3">
        <w:rPr>
          <w:rFonts w:ascii="Calibri" w:hAnsi="Calibri" w:cs="Calibri"/>
          <w:sz w:val="22"/>
          <w:szCs w:val="22"/>
        </w:rPr>
        <w:t>at</w:t>
      </w:r>
      <w:proofErr w:type="gramEnd"/>
      <w:r w:rsidRPr="00CF28F3">
        <w:rPr>
          <w:rFonts w:ascii="Calibri" w:hAnsi="Calibri" w:cs="Calibri"/>
          <w:sz w:val="22"/>
          <w:szCs w:val="22"/>
        </w:rPr>
        <w:t xml:space="preserve"> 31 May 2025. </w:t>
      </w:r>
    </w:p>
    <w:p w14:paraId="6D71D07C"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w:t>
      </w:r>
    </w:p>
    <w:p w14:paraId="24459782" w14:textId="77777777" w:rsidR="003A29EF" w:rsidRPr="00CF28F3"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noted</w:t>
      </w:r>
      <w:r w:rsidRPr="00CF28F3">
        <w:rPr>
          <w:rFonts w:ascii="Calibri" w:hAnsi="Calibri" w:cs="Calibri"/>
          <w:sz w:val="22"/>
          <w:szCs w:val="22"/>
        </w:rPr>
        <w:t xml:space="preserve"> the annual report from Academic Promotions Committee. </w:t>
      </w:r>
    </w:p>
    <w:p w14:paraId="5067FA82"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t>RISKS</w:t>
      </w:r>
    </w:p>
    <w:p w14:paraId="05A6D49A" w14:textId="77777777" w:rsidR="003A29EF" w:rsidRPr="00CF28F3" w:rsidRDefault="00EA3685" w:rsidP="00DF5857">
      <w:pPr>
        <w:spacing w:after="0" w:line="240" w:lineRule="auto"/>
        <w:jc w:val="both"/>
        <w:rPr>
          <w:rFonts w:ascii="Calibri" w:hAnsi="Calibri" w:cs="Calibri"/>
          <w:b/>
          <w:bCs/>
          <w:sz w:val="22"/>
          <w:szCs w:val="22"/>
        </w:rPr>
      </w:pPr>
      <w:r w:rsidRPr="00CF28F3">
        <w:rPr>
          <w:rFonts w:ascii="Calibri" w:hAnsi="Calibri" w:cs="Calibri"/>
          <w:b/>
          <w:bCs/>
          <w:sz w:val="22"/>
          <w:szCs w:val="22"/>
        </w:rPr>
        <w:t>21. Risks Arising</w:t>
      </w:r>
    </w:p>
    <w:p w14:paraId="06D67290"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 xml:space="preserve">Court </w:t>
      </w:r>
      <w:r w:rsidRPr="00CF28F3">
        <w:rPr>
          <w:rFonts w:ascii="Calibri" w:hAnsi="Calibri" w:cs="Calibri"/>
          <w:sz w:val="22"/>
          <w:szCs w:val="22"/>
          <w:u w:val="single"/>
        </w:rPr>
        <w:t>considered</w:t>
      </w:r>
      <w:r w:rsidRPr="00CF28F3">
        <w:rPr>
          <w:rFonts w:ascii="Calibri" w:hAnsi="Calibri" w:cs="Calibri"/>
          <w:sz w:val="22"/>
          <w:szCs w:val="22"/>
        </w:rPr>
        <w:t xml:space="preserve"> risks associated with items discussed in the context of the agreed risk appetite statement. </w:t>
      </w:r>
    </w:p>
    <w:p w14:paraId="19FDA846" w14:textId="77777777" w:rsidR="00DF5857" w:rsidRPr="00CF28F3" w:rsidRDefault="00DF5857" w:rsidP="00CF28F3">
      <w:pPr>
        <w:spacing w:after="0" w:line="240" w:lineRule="auto"/>
        <w:jc w:val="both"/>
        <w:rPr>
          <w:rFonts w:ascii="Calibri" w:hAnsi="Calibri" w:cs="Calibri"/>
          <w:sz w:val="22"/>
          <w:szCs w:val="22"/>
        </w:rPr>
      </w:pPr>
    </w:p>
    <w:p w14:paraId="731FF108" w14:textId="77777777" w:rsidR="003A29EF" w:rsidRPr="00CF28F3" w:rsidRDefault="00EA3685" w:rsidP="00CF28F3">
      <w:pPr>
        <w:spacing w:before="120" w:line="240" w:lineRule="auto"/>
        <w:jc w:val="both"/>
        <w:rPr>
          <w:rFonts w:ascii="Calibri" w:hAnsi="Calibri" w:cs="Calibri"/>
          <w:b/>
          <w:bCs/>
          <w:sz w:val="22"/>
          <w:szCs w:val="22"/>
        </w:rPr>
      </w:pPr>
      <w:r w:rsidRPr="00CF28F3">
        <w:rPr>
          <w:rFonts w:ascii="Calibri" w:hAnsi="Calibri" w:cs="Calibri"/>
          <w:b/>
          <w:bCs/>
          <w:sz w:val="22"/>
          <w:szCs w:val="22"/>
        </w:rPr>
        <w:lastRenderedPageBreak/>
        <w:t>OTHER ITEMS</w:t>
      </w:r>
    </w:p>
    <w:p w14:paraId="0EE1FC3C"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22. Any Other Competent Business</w:t>
      </w:r>
    </w:p>
    <w:p w14:paraId="298CB649" w14:textId="77777777" w:rsidR="003A29EF" w:rsidRDefault="00EA3685" w:rsidP="00CF28F3">
      <w:pPr>
        <w:spacing w:after="0" w:line="240" w:lineRule="auto"/>
        <w:jc w:val="both"/>
        <w:rPr>
          <w:rFonts w:ascii="Calibri" w:hAnsi="Calibri" w:cs="Calibri"/>
          <w:sz w:val="22"/>
          <w:szCs w:val="22"/>
        </w:rPr>
      </w:pPr>
      <w:r w:rsidRPr="00CF28F3">
        <w:rPr>
          <w:rFonts w:ascii="Calibri" w:hAnsi="Calibri" w:cs="Calibri"/>
          <w:sz w:val="22"/>
          <w:szCs w:val="22"/>
        </w:rPr>
        <w:t>There was no other competent business. </w:t>
      </w:r>
    </w:p>
    <w:p w14:paraId="3E0D3600" w14:textId="77777777" w:rsidR="00DF5857" w:rsidRPr="00CF28F3" w:rsidRDefault="00DF5857" w:rsidP="00CF28F3">
      <w:pPr>
        <w:spacing w:after="0" w:line="240" w:lineRule="auto"/>
        <w:jc w:val="both"/>
        <w:rPr>
          <w:rFonts w:ascii="Calibri" w:hAnsi="Calibri" w:cs="Calibri"/>
          <w:sz w:val="22"/>
          <w:szCs w:val="22"/>
        </w:rPr>
      </w:pPr>
    </w:p>
    <w:p w14:paraId="1E1A3C68" w14:textId="77777777" w:rsidR="003A29EF" w:rsidRPr="00CF28F3" w:rsidRDefault="00EA3685" w:rsidP="00DF5857">
      <w:pPr>
        <w:spacing w:before="120" w:after="0" w:line="240" w:lineRule="auto"/>
        <w:jc w:val="both"/>
        <w:rPr>
          <w:rFonts w:ascii="Calibri" w:hAnsi="Calibri" w:cs="Calibri"/>
          <w:b/>
          <w:bCs/>
          <w:sz w:val="22"/>
          <w:szCs w:val="22"/>
        </w:rPr>
      </w:pPr>
      <w:r w:rsidRPr="00CF28F3">
        <w:rPr>
          <w:rFonts w:ascii="Calibri" w:hAnsi="Calibri" w:cs="Calibri"/>
          <w:b/>
          <w:bCs/>
          <w:sz w:val="22"/>
          <w:szCs w:val="22"/>
        </w:rPr>
        <w:t>23. Next Meeting</w:t>
      </w:r>
    </w:p>
    <w:p w14:paraId="2A78B514" w14:textId="7F94E47F" w:rsidR="003A29EF" w:rsidRPr="00CF28F3" w:rsidRDefault="00EA3685" w:rsidP="00CF28F3">
      <w:pPr>
        <w:spacing w:after="0" w:line="240" w:lineRule="auto"/>
        <w:jc w:val="both"/>
        <w:rPr>
          <w:rFonts w:ascii="Calibri" w:hAnsi="Calibri" w:cs="Calibri"/>
          <w:sz w:val="22"/>
          <w:szCs w:val="22"/>
        </w:rPr>
      </w:pPr>
      <w:r w:rsidRPr="3E6E3D2E">
        <w:rPr>
          <w:rFonts w:ascii="Calibri" w:hAnsi="Calibri" w:cs="Calibri"/>
          <w:sz w:val="22"/>
          <w:szCs w:val="22"/>
        </w:rPr>
        <w:t xml:space="preserve">Court </w:t>
      </w:r>
      <w:r w:rsidRPr="3E6E3D2E">
        <w:rPr>
          <w:rFonts w:ascii="Calibri" w:hAnsi="Calibri" w:cs="Calibri"/>
          <w:sz w:val="22"/>
          <w:szCs w:val="22"/>
          <w:u w:val="single"/>
        </w:rPr>
        <w:t>noted</w:t>
      </w:r>
      <w:r w:rsidRPr="3E6E3D2E">
        <w:rPr>
          <w:rFonts w:ascii="Calibri" w:hAnsi="Calibri" w:cs="Calibri"/>
          <w:sz w:val="22"/>
          <w:szCs w:val="22"/>
        </w:rPr>
        <w:t xml:space="preserve"> the meeting dates for 2025/26 were: 3 November 2025; 15 December 2025; 23 March 2026 and 15 June 2026.  Additionally, it was noted that the Court Strategy Day would be held on 4 November 2025.  </w:t>
      </w:r>
    </w:p>
    <w:sectPr w:rsidR="003A29EF" w:rsidRPr="00CF28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495C" w14:textId="77777777" w:rsidR="00D94163" w:rsidRDefault="00D94163" w:rsidP="00B76971">
      <w:pPr>
        <w:spacing w:after="0" w:line="240" w:lineRule="auto"/>
      </w:pPr>
      <w:r>
        <w:separator/>
      </w:r>
    </w:p>
  </w:endnote>
  <w:endnote w:type="continuationSeparator" w:id="0">
    <w:p w14:paraId="0D852D03" w14:textId="77777777" w:rsidR="00D94163" w:rsidRDefault="00D94163" w:rsidP="00B7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24124"/>
      <w:docPartObj>
        <w:docPartGallery w:val="Page Numbers (Bottom of Page)"/>
        <w:docPartUnique/>
      </w:docPartObj>
    </w:sdtPr>
    <w:sdtEndPr>
      <w:rPr>
        <w:rFonts w:ascii="Calibri" w:hAnsi="Calibri" w:cs="Calibri"/>
        <w:noProof/>
        <w:sz w:val="22"/>
        <w:szCs w:val="22"/>
      </w:rPr>
    </w:sdtEndPr>
    <w:sdtContent>
      <w:p w14:paraId="1275D70D" w14:textId="5AA95DB5" w:rsidR="00DF5857" w:rsidRPr="00DF5857" w:rsidRDefault="00DF5857">
        <w:pPr>
          <w:pStyle w:val="Footer"/>
          <w:jc w:val="center"/>
          <w:rPr>
            <w:rFonts w:ascii="Calibri" w:hAnsi="Calibri" w:cs="Calibri"/>
            <w:sz w:val="22"/>
            <w:szCs w:val="22"/>
          </w:rPr>
        </w:pPr>
        <w:r w:rsidRPr="00DF5857">
          <w:rPr>
            <w:rFonts w:ascii="Calibri" w:hAnsi="Calibri" w:cs="Calibri"/>
            <w:sz w:val="22"/>
            <w:szCs w:val="22"/>
          </w:rPr>
          <w:fldChar w:fldCharType="begin"/>
        </w:r>
        <w:r w:rsidRPr="00DF5857">
          <w:rPr>
            <w:rFonts w:ascii="Calibri" w:hAnsi="Calibri" w:cs="Calibri"/>
            <w:sz w:val="22"/>
            <w:szCs w:val="22"/>
          </w:rPr>
          <w:instrText xml:space="preserve"> PAGE   \* MERGEFORMAT </w:instrText>
        </w:r>
        <w:r w:rsidRPr="00DF5857">
          <w:rPr>
            <w:rFonts w:ascii="Calibri" w:hAnsi="Calibri" w:cs="Calibri"/>
            <w:sz w:val="22"/>
            <w:szCs w:val="22"/>
          </w:rPr>
          <w:fldChar w:fldCharType="separate"/>
        </w:r>
        <w:r w:rsidRPr="00DF5857">
          <w:rPr>
            <w:rFonts w:ascii="Calibri" w:hAnsi="Calibri" w:cs="Calibri"/>
            <w:noProof/>
            <w:sz w:val="22"/>
            <w:szCs w:val="22"/>
          </w:rPr>
          <w:t>2</w:t>
        </w:r>
        <w:r w:rsidRPr="00DF5857">
          <w:rPr>
            <w:rFonts w:ascii="Calibri" w:hAnsi="Calibri" w:cs="Calibri"/>
            <w:noProof/>
            <w:sz w:val="22"/>
            <w:szCs w:val="22"/>
          </w:rPr>
          <w:fldChar w:fldCharType="end"/>
        </w:r>
      </w:p>
    </w:sdtContent>
  </w:sdt>
  <w:p w14:paraId="47DAECFE" w14:textId="66A19C48" w:rsidR="00B76971" w:rsidRPr="00DF5857" w:rsidRDefault="00B76971" w:rsidP="00DF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986A" w14:textId="77777777" w:rsidR="00D94163" w:rsidRDefault="00D94163" w:rsidP="00B76971">
      <w:pPr>
        <w:spacing w:after="0" w:line="240" w:lineRule="auto"/>
      </w:pPr>
      <w:r>
        <w:separator/>
      </w:r>
    </w:p>
  </w:footnote>
  <w:footnote w:type="continuationSeparator" w:id="0">
    <w:p w14:paraId="1606E1CA" w14:textId="77777777" w:rsidR="00D94163" w:rsidRDefault="00D94163" w:rsidP="00B76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B5EB1"/>
    <w:multiLevelType w:val="hybridMultilevel"/>
    <w:tmpl w:val="21E214FE"/>
    <w:lvl w:ilvl="0" w:tplc="D1764D92">
      <w:start w:val="1"/>
      <w:numFmt w:val="bullet"/>
      <w:lvlText w:val=""/>
      <w:lvlJc w:val="left"/>
      <w:pPr>
        <w:ind w:left="720" w:hanging="360"/>
      </w:pPr>
      <w:rPr>
        <w:rFonts w:ascii="Symbol" w:hAnsi="Symbol" w:hint="default"/>
      </w:rPr>
    </w:lvl>
    <w:lvl w:ilvl="1" w:tplc="6CBCF924">
      <w:start w:val="1"/>
      <w:numFmt w:val="bullet"/>
      <w:lvlText w:val="o"/>
      <w:lvlJc w:val="left"/>
      <w:pPr>
        <w:ind w:left="1080" w:hanging="360"/>
      </w:pPr>
      <w:rPr>
        <w:rFonts w:ascii="Courier New" w:hAnsi="Courier New" w:cs="Courier New" w:hint="default"/>
      </w:rPr>
    </w:lvl>
    <w:lvl w:ilvl="2" w:tplc="9C2E326E">
      <w:start w:val="1"/>
      <w:numFmt w:val="bullet"/>
      <w:lvlText w:val=""/>
      <w:lvlJc w:val="left"/>
      <w:pPr>
        <w:ind w:left="1440" w:hanging="360"/>
      </w:pPr>
      <w:rPr>
        <w:rFonts w:ascii="Wingdings" w:hAnsi="Wingdings" w:hint="default"/>
      </w:rPr>
    </w:lvl>
    <w:lvl w:ilvl="3" w:tplc="1DBE624E">
      <w:start w:val="1"/>
      <w:numFmt w:val="bullet"/>
      <w:lvlText w:val=""/>
      <w:lvlJc w:val="left"/>
      <w:pPr>
        <w:ind w:left="1800" w:hanging="360"/>
      </w:pPr>
      <w:rPr>
        <w:rFonts w:ascii="Symbol" w:hAnsi="Symbol" w:hint="default"/>
      </w:rPr>
    </w:lvl>
    <w:lvl w:ilvl="4" w:tplc="C15C7CB2">
      <w:start w:val="1"/>
      <w:numFmt w:val="bullet"/>
      <w:lvlText w:val="o"/>
      <w:lvlJc w:val="left"/>
      <w:pPr>
        <w:ind w:left="2160" w:hanging="360"/>
      </w:pPr>
      <w:rPr>
        <w:rFonts w:ascii="Courier New" w:hAnsi="Courier New" w:cs="Courier New" w:hint="default"/>
      </w:rPr>
    </w:lvl>
    <w:lvl w:ilvl="5" w:tplc="2C6465FC">
      <w:start w:val="1"/>
      <w:numFmt w:val="bullet"/>
      <w:lvlText w:val=""/>
      <w:lvlJc w:val="left"/>
      <w:pPr>
        <w:ind w:left="2520" w:hanging="360"/>
      </w:pPr>
      <w:rPr>
        <w:rFonts w:ascii="Wingdings" w:hAnsi="Wingdings" w:hint="default"/>
      </w:rPr>
    </w:lvl>
    <w:lvl w:ilvl="6" w:tplc="EADA726E">
      <w:start w:val="1"/>
      <w:numFmt w:val="bullet"/>
      <w:lvlText w:val=""/>
      <w:lvlJc w:val="left"/>
      <w:pPr>
        <w:ind w:left="2880" w:hanging="360"/>
      </w:pPr>
      <w:rPr>
        <w:rFonts w:ascii="Symbol" w:hAnsi="Symbol" w:hint="default"/>
      </w:rPr>
    </w:lvl>
    <w:lvl w:ilvl="7" w:tplc="6BBA36B6">
      <w:start w:val="1"/>
      <w:numFmt w:val="bullet"/>
      <w:lvlText w:val="o"/>
      <w:lvlJc w:val="left"/>
      <w:pPr>
        <w:ind w:left="3240" w:hanging="360"/>
      </w:pPr>
      <w:rPr>
        <w:rFonts w:ascii="Courier New" w:hAnsi="Courier New" w:cs="Courier New" w:hint="default"/>
      </w:rPr>
    </w:lvl>
    <w:lvl w:ilvl="8" w:tplc="4C500A6E">
      <w:start w:val="1"/>
      <w:numFmt w:val="bullet"/>
      <w:lvlText w:val=""/>
      <w:lvlJc w:val="left"/>
      <w:pPr>
        <w:ind w:left="3600" w:hanging="360"/>
      </w:pPr>
      <w:rPr>
        <w:rFonts w:ascii="Wingdings" w:hAnsi="Wingdings" w:hint="default"/>
      </w:rPr>
    </w:lvl>
  </w:abstractNum>
  <w:num w:numId="1" w16cid:durableId="13922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E"/>
    <w:rsid w:val="0001631E"/>
    <w:rsid w:val="00017948"/>
    <w:rsid w:val="00044472"/>
    <w:rsid w:val="000464C8"/>
    <w:rsid w:val="00056DBE"/>
    <w:rsid w:val="000927D7"/>
    <w:rsid w:val="00094EC9"/>
    <w:rsid w:val="000A5264"/>
    <w:rsid w:val="000B1C37"/>
    <w:rsid w:val="000B28BD"/>
    <w:rsid w:val="000B3FCF"/>
    <w:rsid w:val="001148C1"/>
    <w:rsid w:val="00127EFD"/>
    <w:rsid w:val="00140240"/>
    <w:rsid w:val="00141527"/>
    <w:rsid w:val="00153F57"/>
    <w:rsid w:val="00172B1D"/>
    <w:rsid w:val="00177F35"/>
    <w:rsid w:val="00181FA7"/>
    <w:rsid w:val="0019335D"/>
    <w:rsid w:val="00197B6D"/>
    <w:rsid w:val="001A388E"/>
    <w:rsid w:val="001B3155"/>
    <w:rsid w:val="001B431E"/>
    <w:rsid w:val="001E56FD"/>
    <w:rsid w:val="001F2DEB"/>
    <w:rsid w:val="001F2F8A"/>
    <w:rsid w:val="00201C60"/>
    <w:rsid w:val="00207A03"/>
    <w:rsid w:val="002270C0"/>
    <w:rsid w:val="00235F89"/>
    <w:rsid w:val="002369EC"/>
    <w:rsid w:val="0025482D"/>
    <w:rsid w:val="00264661"/>
    <w:rsid w:val="00265D27"/>
    <w:rsid w:val="002814C5"/>
    <w:rsid w:val="00283738"/>
    <w:rsid w:val="002861D3"/>
    <w:rsid w:val="00297661"/>
    <w:rsid w:val="002B2C44"/>
    <w:rsid w:val="002C736C"/>
    <w:rsid w:val="002D514F"/>
    <w:rsid w:val="002E38A3"/>
    <w:rsid w:val="002E5488"/>
    <w:rsid w:val="002F4A22"/>
    <w:rsid w:val="002F66D3"/>
    <w:rsid w:val="003135E8"/>
    <w:rsid w:val="0032264E"/>
    <w:rsid w:val="00326A59"/>
    <w:rsid w:val="00334A80"/>
    <w:rsid w:val="00344677"/>
    <w:rsid w:val="00345E84"/>
    <w:rsid w:val="003525BC"/>
    <w:rsid w:val="0037679D"/>
    <w:rsid w:val="00380F0F"/>
    <w:rsid w:val="003937F1"/>
    <w:rsid w:val="003A29EF"/>
    <w:rsid w:val="003B6B12"/>
    <w:rsid w:val="003B7ACF"/>
    <w:rsid w:val="003D0DB2"/>
    <w:rsid w:val="003D38DF"/>
    <w:rsid w:val="004139C1"/>
    <w:rsid w:val="00427DC3"/>
    <w:rsid w:val="00430B7F"/>
    <w:rsid w:val="004444D4"/>
    <w:rsid w:val="004508E9"/>
    <w:rsid w:val="00452C13"/>
    <w:rsid w:val="00452D89"/>
    <w:rsid w:val="00455240"/>
    <w:rsid w:val="004561D7"/>
    <w:rsid w:val="00470A8C"/>
    <w:rsid w:val="00475641"/>
    <w:rsid w:val="00483B32"/>
    <w:rsid w:val="00485DE3"/>
    <w:rsid w:val="00490A05"/>
    <w:rsid w:val="004A7566"/>
    <w:rsid w:val="004B347A"/>
    <w:rsid w:val="004D3E69"/>
    <w:rsid w:val="004D7632"/>
    <w:rsid w:val="00520BF5"/>
    <w:rsid w:val="00535976"/>
    <w:rsid w:val="00541FC1"/>
    <w:rsid w:val="005546B8"/>
    <w:rsid w:val="005676DA"/>
    <w:rsid w:val="00586A6F"/>
    <w:rsid w:val="00587CD0"/>
    <w:rsid w:val="005A1AFE"/>
    <w:rsid w:val="005A6789"/>
    <w:rsid w:val="005C1AD0"/>
    <w:rsid w:val="005C7644"/>
    <w:rsid w:val="005F232C"/>
    <w:rsid w:val="005F4717"/>
    <w:rsid w:val="0065736D"/>
    <w:rsid w:val="00660EF3"/>
    <w:rsid w:val="00684329"/>
    <w:rsid w:val="00684FEA"/>
    <w:rsid w:val="006A4043"/>
    <w:rsid w:val="006B43F2"/>
    <w:rsid w:val="006B7401"/>
    <w:rsid w:val="006C01F9"/>
    <w:rsid w:val="006C2D47"/>
    <w:rsid w:val="006C73C2"/>
    <w:rsid w:val="006D27F5"/>
    <w:rsid w:val="006D5E1C"/>
    <w:rsid w:val="006E13B5"/>
    <w:rsid w:val="00714201"/>
    <w:rsid w:val="0072071E"/>
    <w:rsid w:val="007268CE"/>
    <w:rsid w:val="00733A1B"/>
    <w:rsid w:val="00742B2E"/>
    <w:rsid w:val="00751343"/>
    <w:rsid w:val="00755B08"/>
    <w:rsid w:val="007914E8"/>
    <w:rsid w:val="00792880"/>
    <w:rsid w:val="007B1646"/>
    <w:rsid w:val="007C019E"/>
    <w:rsid w:val="007D337E"/>
    <w:rsid w:val="00813CF7"/>
    <w:rsid w:val="0083268F"/>
    <w:rsid w:val="00846597"/>
    <w:rsid w:val="008511E9"/>
    <w:rsid w:val="00865304"/>
    <w:rsid w:val="00867727"/>
    <w:rsid w:val="008A0108"/>
    <w:rsid w:val="008A2917"/>
    <w:rsid w:val="008B2B98"/>
    <w:rsid w:val="008D4F66"/>
    <w:rsid w:val="008D5789"/>
    <w:rsid w:val="008D66EE"/>
    <w:rsid w:val="008E0FC6"/>
    <w:rsid w:val="008E4E19"/>
    <w:rsid w:val="009046F9"/>
    <w:rsid w:val="00913204"/>
    <w:rsid w:val="00914C79"/>
    <w:rsid w:val="0092375B"/>
    <w:rsid w:val="00925EB2"/>
    <w:rsid w:val="0093534D"/>
    <w:rsid w:val="00961B17"/>
    <w:rsid w:val="00975074"/>
    <w:rsid w:val="00976F2A"/>
    <w:rsid w:val="00981BB5"/>
    <w:rsid w:val="00983B1C"/>
    <w:rsid w:val="009872C0"/>
    <w:rsid w:val="00993E85"/>
    <w:rsid w:val="00997AC1"/>
    <w:rsid w:val="009B7D8E"/>
    <w:rsid w:val="009C5AE3"/>
    <w:rsid w:val="009C6C6A"/>
    <w:rsid w:val="009D41A0"/>
    <w:rsid w:val="009D4DD5"/>
    <w:rsid w:val="009E2D8B"/>
    <w:rsid w:val="009E2E72"/>
    <w:rsid w:val="009F3F72"/>
    <w:rsid w:val="00A002C5"/>
    <w:rsid w:val="00A41D7D"/>
    <w:rsid w:val="00A54018"/>
    <w:rsid w:val="00A638FF"/>
    <w:rsid w:val="00A8285F"/>
    <w:rsid w:val="00A83B8D"/>
    <w:rsid w:val="00A860F7"/>
    <w:rsid w:val="00AA0583"/>
    <w:rsid w:val="00AC3A1F"/>
    <w:rsid w:val="00AD49A2"/>
    <w:rsid w:val="00AF393F"/>
    <w:rsid w:val="00B013B9"/>
    <w:rsid w:val="00B10325"/>
    <w:rsid w:val="00B31692"/>
    <w:rsid w:val="00B72DBC"/>
    <w:rsid w:val="00B76971"/>
    <w:rsid w:val="00BB1F52"/>
    <w:rsid w:val="00BE23AF"/>
    <w:rsid w:val="00BF3D4B"/>
    <w:rsid w:val="00C03BE0"/>
    <w:rsid w:val="00C0656C"/>
    <w:rsid w:val="00C17596"/>
    <w:rsid w:val="00C343BB"/>
    <w:rsid w:val="00C41BD5"/>
    <w:rsid w:val="00C45106"/>
    <w:rsid w:val="00C51156"/>
    <w:rsid w:val="00C62403"/>
    <w:rsid w:val="00C76E82"/>
    <w:rsid w:val="00C7735A"/>
    <w:rsid w:val="00CA094F"/>
    <w:rsid w:val="00CA19C1"/>
    <w:rsid w:val="00CD33D5"/>
    <w:rsid w:val="00CD50F4"/>
    <w:rsid w:val="00CE0CA5"/>
    <w:rsid w:val="00CF28F3"/>
    <w:rsid w:val="00CF4CA3"/>
    <w:rsid w:val="00D0409F"/>
    <w:rsid w:val="00D04DDF"/>
    <w:rsid w:val="00D07F92"/>
    <w:rsid w:val="00D101D4"/>
    <w:rsid w:val="00D14200"/>
    <w:rsid w:val="00D17E34"/>
    <w:rsid w:val="00D24940"/>
    <w:rsid w:val="00D33E3D"/>
    <w:rsid w:val="00D42C2A"/>
    <w:rsid w:val="00D45078"/>
    <w:rsid w:val="00D94163"/>
    <w:rsid w:val="00D944E0"/>
    <w:rsid w:val="00D964BC"/>
    <w:rsid w:val="00DB4957"/>
    <w:rsid w:val="00DD3F8F"/>
    <w:rsid w:val="00DD57F4"/>
    <w:rsid w:val="00DE1A90"/>
    <w:rsid w:val="00DE4E7F"/>
    <w:rsid w:val="00DF5857"/>
    <w:rsid w:val="00E1690F"/>
    <w:rsid w:val="00E2078F"/>
    <w:rsid w:val="00E21634"/>
    <w:rsid w:val="00E3214F"/>
    <w:rsid w:val="00E3339A"/>
    <w:rsid w:val="00E412C5"/>
    <w:rsid w:val="00E70EF5"/>
    <w:rsid w:val="00E807BA"/>
    <w:rsid w:val="00E85D4D"/>
    <w:rsid w:val="00E94BEB"/>
    <w:rsid w:val="00EA3685"/>
    <w:rsid w:val="00EB3422"/>
    <w:rsid w:val="00ED01F4"/>
    <w:rsid w:val="00EE51F3"/>
    <w:rsid w:val="00F02403"/>
    <w:rsid w:val="00F111B5"/>
    <w:rsid w:val="00F2349D"/>
    <w:rsid w:val="00F27A20"/>
    <w:rsid w:val="00F5151B"/>
    <w:rsid w:val="00F668B5"/>
    <w:rsid w:val="00F75912"/>
    <w:rsid w:val="00F76D13"/>
    <w:rsid w:val="00F94F15"/>
    <w:rsid w:val="00FA01DE"/>
    <w:rsid w:val="00FC05C6"/>
    <w:rsid w:val="00FC23B7"/>
    <w:rsid w:val="00FD26F1"/>
    <w:rsid w:val="00FD43C2"/>
    <w:rsid w:val="00FF1F3D"/>
    <w:rsid w:val="00FF773E"/>
    <w:rsid w:val="02F9FA76"/>
    <w:rsid w:val="3E6E3D2E"/>
    <w:rsid w:val="5D92A8D5"/>
    <w:rsid w:val="5E26D3CD"/>
    <w:rsid w:val="7849737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6349"/>
  <w15:chartTrackingRefBased/>
  <w15:docId w15:val="{4A3C08E9-DD38-4842-B504-BE7EBF28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D8E"/>
    <w:rPr>
      <w:rFonts w:eastAsiaTheme="majorEastAsia" w:cstheme="majorBidi"/>
      <w:color w:val="272727" w:themeColor="text1" w:themeTint="D8"/>
    </w:rPr>
  </w:style>
  <w:style w:type="paragraph" w:styleId="Title">
    <w:name w:val="Title"/>
    <w:basedOn w:val="Normal"/>
    <w:next w:val="Normal"/>
    <w:link w:val="TitleChar"/>
    <w:uiPriority w:val="10"/>
    <w:qFormat/>
    <w:rsid w:val="009B7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D8E"/>
    <w:pPr>
      <w:spacing w:before="160"/>
      <w:jc w:val="center"/>
    </w:pPr>
    <w:rPr>
      <w:i/>
      <w:iCs/>
      <w:color w:val="404040" w:themeColor="text1" w:themeTint="BF"/>
    </w:rPr>
  </w:style>
  <w:style w:type="character" w:customStyle="1" w:styleId="QuoteChar">
    <w:name w:val="Quote Char"/>
    <w:basedOn w:val="DefaultParagraphFont"/>
    <w:link w:val="Quote"/>
    <w:uiPriority w:val="29"/>
    <w:rsid w:val="009B7D8E"/>
    <w:rPr>
      <w:i/>
      <w:iCs/>
      <w:color w:val="404040" w:themeColor="text1" w:themeTint="BF"/>
    </w:rPr>
  </w:style>
  <w:style w:type="paragraph" w:styleId="ListParagraph">
    <w:name w:val="List Paragraph"/>
    <w:basedOn w:val="Normal"/>
    <w:uiPriority w:val="34"/>
    <w:qFormat/>
    <w:rsid w:val="009B7D8E"/>
    <w:pPr>
      <w:ind w:left="720"/>
      <w:contextualSpacing/>
    </w:pPr>
  </w:style>
  <w:style w:type="character" w:styleId="IntenseEmphasis">
    <w:name w:val="Intense Emphasis"/>
    <w:basedOn w:val="DefaultParagraphFont"/>
    <w:uiPriority w:val="21"/>
    <w:qFormat/>
    <w:rsid w:val="009B7D8E"/>
    <w:rPr>
      <w:i/>
      <w:iCs/>
      <w:color w:val="0F4761" w:themeColor="accent1" w:themeShade="BF"/>
    </w:rPr>
  </w:style>
  <w:style w:type="paragraph" w:styleId="IntenseQuote">
    <w:name w:val="Intense Quote"/>
    <w:basedOn w:val="Normal"/>
    <w:next w:val="Normal"/>
    <w:link w:val="IntenseQuoteChar"/>
    <w:uiPriority w:val="30"/>
    <w:qFormat/>
    <w:rsid w:val="009B7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D8E"/>
    <w:rPr>
      <w:i/>
      <w:iCs/>
      <w:color w:val="0F4761" w:themeColor="accent1" w:themeShade="BF"/>
    </w:rPr>
  </w:style>
  <w:style w:type="character" w:styleId="IntenseReference">
    <w:name w:val="Intense Reference"/>
    <w:basedOn w:val="DefaultParagraphFont"/>
    <w:uiPriority w:val="32"/>
    <w:qFormat/>
    <w:rsid w:val="009B7D8E"/>
    <w:rPr>
      <w:b/>
      <w:bCs/>
      <w:smallCaps/>
      <w:color w:val="0F4761" w:themeColor="accent1" w:themeShade="BF"/>
      <w:spacing w:val="5"/>
    </w:rPr>
  </w:style>
  <w:style w:type="paragraph" w:styleId="Header">
    <w:name w:val="header"/>
    <w:basedOn w:val="Normal"/>
    <w:link w:val="HeaderChar"/>
    <w:uiPriority w:val="99"/>
    <w:unhideWhenUsed/>
    <w:rsid w:val="00B76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971"/>
  </w:style>
  <w:style w:type="paragraph" w:styleId="Footer">
    <w:name w:val="footer"/>
    <w:basedOn w:val="Normal"/>
    <w:link w:val="FooterChar"/>
    <w:uiPriority w:val="99"/>
    <w:unhideWhenUsed/>
    <w:rsid w:val="00B76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971"/>
  </w:style>
  <w:style w:type="paragraph" w:styleId="Caption">
    <w:name w:val="caption"/>
    <w:basedOn w:val="Normal"/>
    <w:qFormat/>
    <w:pPr>
      <w:suppressLineNumbers/>
      <w:spacing w:before="120" w:after="120"/>
    </w:pPr>
    <w:rPr>
      <w:rFonts w:cs="Lohit Devanagari"/>
      <w:i/>
      <w:iCs/>
    </w:rPr>
  </w:style>
  <w:style w:type="character" w:customStyle="1" w:styleId="CitationCar">
    <w:name w:val="Citation Car"/>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uiPriority w:val="99"/>
    <w:unhideWhenUsed/>
    <w:rPr>
      <w:color w:val="467886" w:themeColor="hyperlink"/>
      <w:u w:val="single"/>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58461-C1CF-46A8-88F7-577177C2C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6C459-8301-4826-9F2E-A0A0D68BD455}">
  <ds:schemaRefs>
    <ds:schemaRef ds:uri="http://schemas.microsoft.com/sharepoint/v3/contenttype/forms"/>
  </ds:schemaRefs>
</ds:datastoreItem>
</file>

<file path=customXml/itemProps3.xml><?xml version="1.0" encoding="utf-8"?>
<ds:datastoreItem xmlns:ds="http://schemas.openxmlformats.org/officeDocument/2006/customXml" ds:itemID="{9B3F64B1-AB1D-4874-BF99-A670DB131967}">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2080</Words>
  <Characters>12177</Characters>
  <Application>Microsoft Office Word</Application>
  <DocSecurity>0</DocSecurity>
  <Lines>247</Lines>
  <Paragraphs>88</Paragraphs>
  <ScaleCrop>false</ScaleCrop>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Saibalwar</dc:creator>
  <cp:keywords/>
  <dc:description/>
  <cp:lastModifiedBy>Moray Nichol</cp:lastModifiedBy>
  <cp:revision>17</cp:revision>
  <dcterms:created xsi:type="dcterms:W3CDTF">2025-09-02T15:48:00Z</dcterms:created>
  <dcterms:modified xsi:type="dcterms:W3CDTF">2026-01-28T14:19:00Z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