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847F" w14:textId="77777777" w:rsidR="00612FE5" w:rsidRPr="00A75A12" w:rsidRDefault="00DF37AB" w:rsidP="00A862A4">
      <w:pPr>
        <w:spacing w:after="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610A555" wp14:editId="37A38AA4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C87C" w14:textId="77777777" w:rsidR="00A862A4" w:rsidRPr="00CC3C3F" w:rsidRDefault="00A862A4" w:rsidP="000E4EA9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6F740C6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UNIVERSITY COURT</w:t>
      </w:r>
    </w:p>
    <w:p w14:paraId="467CABFE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7DF14BA" w14:textId="156148AD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 xml:space="preserve">Minutes of the meeting held on </w:t>
      </w:r>
      <w:r w:rsidR="005C4224">
        <w:rPr>
          <w:rFonts w:asciiTheme="minorHAnsi" w:hAnsiTheme="minorHAnsi" w:cs="Calibri"/>
          <w:b/>
        </w:rPr>
        <w:t xml:space="preserve">21 September </w:t>
      </w:r>
      <w:r>
        <w:rPr>
          <w:rFonts w:asciiTheme="minorHAnsi" w:hAnsiTheme="minorHAnsi" w:cs="Calibri"/>
          <w:b/>
        </w:rPr>
        <w:t>202</w:t>
      </w:r>
      <w:r w:rsidR="004B01CD">
        <w:rPr>
          <w:rFonts w:asciiTheme="minorHAnsi" w:hAnsiTheme="minorHAnsi" w:cs="Calibri"/>
          <w:b/>
        </w:rPr>
        <w:t>0</w:t>
      </w:r>
    </w:p>
    <w:p w14:paraId="042AFB2A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7FF23AB1" w14:textId="150CB1A2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Present:</w:t>
      </w:r>
      <w:r>
        <w:rPr>
          <w:rFonts w:asciiTheme="minorHAnsi" w:hAnsiTheme="minorHAnsi" w:cs="Calibri"/>
        </w:rPr>
        <w:tab/>
      </w:r>
      <w:r w:rsidRPr="002C1F73">
        <w:rPr>
          <w:rFonts w:asciiTheme="minorHAnsi" w:hAnsiTheme="minorHAnsi" w:cs="Calibri"/>
        </w:rPr>
        <w:t xml:space="preserve">Mr H Adam (Chair), Dr Robert Black, Prof J Donaldson, Mr K Fraser, Prof A Green, Mr H </w:t>
      </w:r>
      <w:proofErr w:type="spellStart"/>
      <w:r w:rsidRPr="002C1F73">
        <w:rPr>
          <w:rFonts w:asciiTheme="minorHAnsi" w:hAnsiTheme="minorHAnsi" w:cs="Calibri"/>
        </w:rPr>
        <w:t>Grossart</w:t>
      </w:r>
      <w:proofErr w:type="spellEnd"/>
      <w:r w:rsidRPr="002C1F73">
        <w:rPr>
          <w:rFonts w:asciiTheme="minorHAnsi" w:hAnsiTheme="minorHAnsi" w:cs="Calibri"/>
        </w:rPr>
        <w:t xml:space="preserve">, Mr S Haldane, Mr G Hastie, </w:t>
      </w:r>
      <w:r w:rsidRPr="00B61894">
        <w:rPr>
          <w:rFonts w:asciiTheme="minorHAnsi" w:hAnsiTheme="minorHAnsi" w:cs="Calibri"/>
        </w:rPr>
        <w:t xml:space="preserve">Mr D Kearney, Prof M MacLeod, Prof G </w:t>
      </w:r>
      <w:proofErr w:type="spellStart"/>
      <w:r w:rsidRPr="00B61894">
        <w:rPr>
          <w:rFonts w:asciiTheme="minorHAnsi" w:hAnsiTheme="minorHAnsi" w:cs="Calibri"/>
        </w:rPr>
        <w:t>McCormac</w:t>
      </w:r>
      <w:proofErr w:type="spellEnd"/>
      <w:r w:rsidRPr="00B61894">
        <w:rPr>
          <w:rFonts w:asciiTheme="minorHAnsi" w:hAnsiTheme="minorHAnsi" w:cs="Calibri"/>
        </w:rPr>
        <w:t xml:space="preserve">, Ms B </w:t>
      </w:r>
      <w:proofErr w:type="spellStart"/>
      <w:r w:rsidRPr="00B61894">
        <w:rPr>
          <w:rFonts w:asciiTheme="minorHAnsi" w:hAnsiTheme="minorHAnsi" w:cs="Calibri"/>
        </w:rPr>
        <w:t>McKissack</w:t>
      </w:r>
      <w:proofErr w:type="spellEnd"/>
      <w:r w:rsidRPr="00B61894">
        <w:rPr>
          <w:rFonts w:asciiTheme="minorHAnsi" w:hAnsiTheme="minorHAnsi" w:cs="Calibri"/>
        </w:rPr>
        <w:t xml:space="preserve">, Ms C Morrison, Mr J </w:t>
      </w:r>
      <w:proofErr w:type="spellStart"/>
      <w:r w:rsidRPr="00B61894">
        <w:rPr>
          <w:rFonts w:asciiTheme="minorHAnsi" w:hAnsiTheme="minorHAnsi" w:cs="Calibri"/>
        </w:rPr>
        <w:t>Muirhead</w:t>
      </w:r>
      <w:proofErr w:type="spellEnd"/>
      <w:r w:rsidRPr="00B61894">
        <w:rPr>
          <w:rFonts w:asciiTheme="minorHAnsi" w:hAnsiTheme="minorHAnsi" w:cs="Calibri"/>
        </w:rPr>
        <w:t xml:space="preserve">, Prof H </w:t>
      </w:r>
      <w:proofErr w:type="spellStart"/>
      <w:r w:rsidRPr="00B61894">
        <w:rPr>
          <w:rFonts w:asciiTheme="minorHAnsi" w:hAnsiTheme="minorHAnsi" w:cs="Calibri"/>
        </w:rPr>
        <w:t>Nehring</w:t>
      </w:r>
      <w:proofErr w:type="spellEnd"/>
      <w:r w:rsidRPr="00B61894">
        <w:rPr>
          <w:rFonts w:asciiTheme="minorHAnsi" w:hAnsiTheme="minorHAnsi" w:cs="Calibri"/>
        </w:rPr>
        <w:t>, Rev M Roderick, Councillor C Simpson, Ms Mary Allison, Ms P Crawford, Ms S Gordon, Prof P Hancock</w:t>
      </w:r>
      <w:r w:rsidR="00F72FE2" w:rsidRPr="00B61894">
        <w:rPr>
          <w:rFonts w:asciiTheme="minorHAnsi" w:hAnsiTheme="minorHAnsi" w:cs="Calibri"/>
        </w:rPr>
        <w:t>, Ms A Smith and Mr G MacLeod</w:t>
      </w:r>
      <w:r w:rsidRPr="00B61894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</w:t>
      </w:r>
    </w:p>
    <w:p w14:paraId="0AC2A099" w14:textId="77777777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</w:rPr>
        <w:tab/>
      </w:r>
    </w:p>
    <w:p w14:paraId="6797D0A4" w14:textId="77777777" w:rsidR="00840015" w:rsidRPr="00F75174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In Attendance:</w:t>
      </w:r>
      <w:r w:rsidRPr="00F75174">
        <w:rPr>
          <w:rFonts w:asciiTheme="minorHAnsi" w:hAnsiTheme="minorHAnsi" w:cs="Calibri"/>
        </w:rPr>
        <w:tab/>
      </w:r>
      <w:r w:rsidRPr="00B61894">
        <w:rPr>
          <w:rFonts w:asciiTheme="minorHAnsi" w:hAnsiTheme="minorHAnsi" w:cs="Calibri"/>
        </w:rPr>
        <w:t xml:space="preserve">Ms C Gallagher, Ms J Harrison, Mr L McCabe, Mr M </w:t>
      </w:r>
      <w:proofErr w:type="spellStart"/>
      <w:r w:rsidRPr="00B61894">
        <w:rPr>
          <w:rFonts w:asciiTheme="minorHAnsi" w:hAnsiTheme="minorHAnsi" w:cs="Calibri"/>
        </w:rPr>
        <w:t>McCrindle</w:t>
      </w:r>
      <w:proofErr w:type="spellEnd"/>
      <w:r w:rsidRPr="00B61894">
        <w:rPr>
          <w:rFonts w:asciiTheme="minorHAnsi" w:hAnsiTheme="minorHAnsi" w:cs="Calibri"/>
        </w:rPr>
        <w:t>, Mr C McNally, Ms J Morrow, Prof J Phillips, Dr J Rogers, Ms E Schofield, Prof L Sparks, Mr L Spillane</w:t>
      </w:r>
      <w:r w:rsidR="00F72FE2" w:rsidRPr="00B61894">
        <w:rPr>
          <w:rFonts w:asciiTheme="minorHAnsi" w:hAnsiTheme="minorHAnsi" w:cs="Calibri"/>
        </w:rPr>
        <w:t>, Dr David Telford</w:t>
      </w:r>
      <w:r w:rsidR="00E953D3" w:rsidRPr="00B61894">
        <w:rPr>
          <w:rFonts w:asciiTheme="minorHAnsi" w:hAnsiTheme="minorHAnsi" w:cs="Calibri"/>
        </w:rPr>
        <w:t>, Mr</w:t>
      </w:r>
      <w:r w:rsidRPr="00B61894">
        <w:rPr>
          <w:rFonts w:asciiTheme="minorHAnsi" w:hAnsiTheme="minorHAnsi" w:cs="Calibri"/>
        </w:rPr>
        <w:t xml:space="preserve"> M Nichol (Clerk), Prof N Wylie, Dr L Zhuang</w:t>
      </w:r>
      <w:r w:rsidR="00593ABF" w:rsidRPr="00B61894">
        <w:rPr>
          <w:rFonts w:asciiTheme="minorHAnsi" w:hAnsiTheme="minorHAnsi" w:cs="Calibri"/>
        </w:rPr>
        <w:t>,</w:t>
      </w:r>
      <w:r w:rsidRPr="00B61894">
        <w:rPr>
          <w:rFonts w:asciiTheme="minorHAnsi" w:hAnsiTheme="minorHAnsi" w:cs="Calibri"/>
        </w:rPr>
        <w:t xml:space="preserve"> and Mr G Duff.</w:t>
      </w:r>
      <w:r>
        <w:rPr>
          <w:rFonts w:asciiTheme="minorHAnsi" w:hAnsiTheme="minorHAnsi" w:cs="Calibri"/>
        </w:rPr>
        <w:t xml:space="preserve"> </w:t>
      </w:r>
    </w:p>
    <w:p w14:paraId="462C1339" w14:textId="77777777" w:rsidR="00840015" w:rsidRPr="00F75174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3EA3DE9" w14:textId="05FF6473" w:rsidR="00840015" w:rsidRDefault="00840015" w:rsidP="00F72FE2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F75174">
        <w:rPr>
          <w:rFonts w:asciiTheme="minorHAnsi" w:hAnsiTheme="minorHAnsi" w:cs="Calibri"/>
          <w:b/>
        </w:rPr>
        <w:t>Apologies:</w:t>
      </w:r>
      <w:r w:rsidRPr="00F75174">
        <w:rPr>
          <w:rFonts w:asciiTheme="minorHAnsi" w:hAnsiTheme="minorHAnsi" w:cs="Calibri"/>
          <w:b/>
        </w:rPr>
        <w:tab/>
      </w:r>
      <w:r w:rsidR="005C4224" w:rsidRPr="005C4224">
        <w:rPr>
          <w:rFonts w:asciiTheme="minorHAnsi" w:hAnsiTheme="minorHAnsi" w:cs="Calibri"/>
          <w:bCs/>
        </w:rPr>
        <w:t>A</w:t>
      </w:r>
      <w:r w:rsidRPr="00AD70C5">
        <w:rPr>
          <w:rFonts w:asciiTheme="minorHAnsi" w:hAnsiTheme="minorHAnsi" w:cs="Calibri"/>
        </w:rPr>
        <w:t>pologies for absence</w:t>
      </w:r>
      <w:r w:rsidR="005C4224">
        <w:rPr>
          <w:rFonts w:asciiTheme="minorHAnsi" w:hAnsiTheme="minorHAnsi" w:cs="Calibri"/>
        </w:rPr>
        <w:t xml:space="preserve"> were received from Dr P Cowell.</w:t>
      </w:r>
      <w:r w:rsidRPr="00AD70C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 </w:t>
      </w:r>
    </w:p>
    <w:p w14:paraId="6C55E311" w14:textId="77777777" w:rsidR="00840015" w:rsidRPr="00DC0366" w:rsidRDefault="00840015" w:rsidP="0084001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5F4F1B2" w14:textId="7777777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1.</w:t>
      </w:r>
      <w:r w:rsidRPr="00C63760">
        <w:rPr>
          <w:rFonts w:asciiTheme="minorHAnsi" w:hAnsiTheme="minorHAnsi" w:cs="Calibri"/>
          <w:b/>
        </w:rPr>
        <w:tab/>
      </w:r>
      <w:r w:rsidRPr="005C4224">
        <w:rPr>
          <w:rFonts w:asciiTheme="minorHAnsi" w:hAnsiTheme="minorHAnsi" w:cs="Calibri"/>
          <w:b/>
        </w:rPr>
        <w:t>DECLARATIONS OF INTEREST</w:t>
      </w:r>
      <w:r w:rsidRPr="005C4224">
        <w:rPr>
          <w:rFonts w:asciiTheme="minorHAnsi" w:hAnsiTheme="minorHAnsi" w:cs="Calibri"/>
          <w:b/>
        </w:rPr>
        <w:tab/>
      </w:r>
    </w:p>
    <w:p w14:paraId="10E91082" w14:textId="77777777" w:rsidR="00840015" w:rsidRPr="005C4224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C4224">
        <w:rPr>
          <w:rFonts w:asciiTheme="minorHAnsi" w:hAnsiTheme="minorHAnsi" w:cs="Calibri"/>
        </w:rPr>
        <w:t xml:space="preserve">There were no declarations of interest. </w:t>
      </w:r>
    </w:p>
    <w:p w14:paraId="582B12B5" w14:textId="7777777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7798E89" w14:textId="45A8EC3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C4224">
        <w:rPr>
          <w:rFonts w:asciiTheme="minorHAnsi" w:hAnsiTheme="minorHAnsi" w:cs="Calibri"/>
          <w:b/>
        </w:rPr>
        <w:t>2.</w:t>
      </w:r>
      <w:r w:rsidRPr="005C4224">
        <w:rPr>
          <w:rFonts w:asciiTheme="minorHAnsi" w:hAnsiTheme="minorHAnsi" w:cs="Calibri"/>
          <w:b/>
        </w:rPr>
        <w:tab/>
        <w:t>MINUTES</w:t>
      </w:r>
      <w:r w:rsidRPr="005C4224">
        <w:rPr>
          <w:rFonts w:asciiTheme="minorHAnsi" w:hAnsiTheme="minorHAnsi" w:cs="Calibri"/>
          <w:b/>
        </w:rPr>
        <w:tab/>
      </w:r>
      <w:proofErr w:type="gramStart"/>
      <w:r w:rsidRPr="005C4224">
        <w:rPr>
          <w:rFonts w:asciiTheme="minorHAnsi" w:hAnsiTheme="minorHAnsi" w:cs="Calibri"/>
          <w:b/>
        </w:rPr>
        <w:t>UC(</w:t>
      </w:r>
      <w:proofErr w:type="gramEnd"/>
      <w:r w:rsidRPr="005C4224">
        <w:rPr>
          <w:rFonts w:asciiTheme="minorHAnsi" w:hAnsiTheme="minorHAnsi" w:cs="Calibri"/>
          <w:b/>
        </w:rPr>
        <w:t xml:space="preserve">19/20) Minutes </w:t>
      </w:r>
      <w:r w:rsidR="005C4224" w:rsidRPr="005C4224">
        <w:rPr>
          <w:rFonts w:asciiTheme="minorHAnsi" w:hAnsiTheme="minorHAnsi" w:cs="Calibri"/>
          <w:b/>
        </w:rPr>
        <w:t>7</w:t>
      </w:r>
    </w:p>
    <w:p w14:paraId="5D5DDD02" w14:textId="7C91136D" w:rsidR="00840015" w:rsidRPr="005C4224" w:rsidRDefault="00840015" w:rsidP="0084001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C4224">
        <w:rPr>
          <w:rFonts w:asciiTheme="minorHAnsi" w:hAnsiTheme="minorHAnsi" w:cs="Calibri"/>
        </w:rPr>
        <w:t xml:space="preserve">The minutes of the meeting held on </w:t>
      </w:r>
      <w:r w:rsidR="00AA24E8">
        <w:rPr>
          <w:rFonts w:asciiTheme="minorHAnsi" w:hAnsiTheme="minorHAnsi" w:cs="Calibri"/>
        </w:rPr>
        <w:t>29</w:t>
      </w:r>
      <w:r w:rsidR="005C4224" w:rsidRPr="005C4224">
        <w:rPr>
          <w:rFonts w:asciiTheme="minorHAnsi" w:hAnsiTheme="minorHAnsi" w:cs="Calibri"/>
        </w:rPr>
        <w:t xml:space="preserve"> </w:t>
      </w:r>
      <w:r w:rsidR="00AA24E8">
        <w:rPr>
          <w:rFonts w:asciiTheme="minorHAnsi" w:hAnsiTheme="minorHAnsi" w:cs="Calibri"/>
        </w:rPr>
        <w:t>June</w:t>
      </w:r>
      <w:r w:rsidR="005C4224" w:rsidRPr="005C4224">
        <w:rPr>
          <w:rFonts w:asciiTheme="minorHAnsi" w:hAnsiTheme="minorHAnsi" w:cs="Calibri"/>
        </w:rPr>
        <w:t xml:space="preserve"> </w:t>
      </w:r>
      <w:r w:rsidRPr="005C4224">
        <w:rPr>
          <w:rFonts w:asciiTheme="minorHAnsi" w:hAnsiTheme="minorHAnsi" w:cs="Calibri"/>
        </w:rPr>
        <w:t xml:space="preserve">were </w:t>
      </w:r>
      <w:r w:rsidRPr="005C4224">
        <w:rPr>
          <w:rFonts w:asciiTheme="minorHAnsi" w:hAnsiTheme="minorHAnsi" w:cs="Calibri"/>
          <w:b/>
        </w:rPr>
        <w:t>approved</w:t>
      </w:r>
      <w:r w:rsidRPr="005C4224">
        <w:rPr>
          <w:rFonts w:asciiTheme="minorHAnsi" w:hAnsiTheme="minorHAnsi" w:cs="Calibri"/>
        </w:rPr>
        <w:t xml:space="preserve"> as an accurate record.</w:t>
      </w:r>
    </w:p>
    <w:p w14:paraId="74F47B40" w14:textId="77777777" w:rsidR="00840015" w:rsidRPr="005C4224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2294B2C" w14:textId="7777777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C4224">
        <w:rPr>
          <w:rFonts w:asciiTheme="minorHAnsi" w:hAnsiTheme="minorHAnsi" w:cs="Calibri"/>
          <w:b/>
        </w:rPr>
        <w:t>3.</w:t>
      </w:r>
      <w:r w:rsidRPr="005C4224">
        <w:rPr>
          <w:rFonts w:asciiTheme="minorHAnsi" w:hAnsiTheme="minorHAnsi" w:cs="Calibri"/>
          <w:b/>
        </w:rPr>
        <w:tab/>
        <w:t>MATTERS ARISING NOT OTHERWISE ON THE AGENDA</w:t>
      </w:r>
    </w:p>
    <w:p w14:paraId="6535B9D0" w14:textId="7777777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C4224">
        <w:rPr>
          <w:rFonts w:asciiTheme="minorHAnsi" w:hAnsiTheme="minorHAnsi" w:cs="Calibri"/>
        </w:rPr>
        <w:t>There were no matters arising.</w:t>
      </w:r>
    </w:p>
    <w:p w14:paraId="592650CE" w14:textId="77777777" w:rsidR="00840015" w:rsidRPr="005C4224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4EB3F06" w14:textId="73E2AC04" w:rsidR="005C4224" w:rsidRPr="005C4224" w:rsidRDefault="00F72FE2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C4224">
        <w:rPr>
          <w:rFonts w:asciiTheme="minorHAnsi" w:hAnsiTheme="minorHAnsi" w:cs="Calibri"/>
          <w:b/>
        </w:rPr>
        <w:t>4.</w:t>
      </w:r>
      <w:r w:rsidRPr="005C4224">
        <w:rPr>
          <w:rFonts w:asciiTheme="minorHAnsi" w:hAnsiTheme="minorHAnsi" w:cs="Calibri"/>
          <w:b/>
        </w:rPr>
        <w:tab/>
      </w:r>
      <w:r w:rsidR="005C4224" w:rsidRPr="005C4224">
        <w:rPr>
          <w:rFonts w:asciiTheme="minorHAnsi" w:hAnsiTheme="minorHAnsi" w:cs="Calibri"/>
          <w:b/>
        </w:rPr>
        <w:t xml:space="preserve">REMIT, COMPOSITION AND MEMBERSHIP </w:t>
      </w:r>
      <w:r w:rsidR="005C4224" w:rsidRPr="005C4224">
        <w:rPr>
          <w:rFonts w:asciiTheme="minorHAnsi" w:hAnsiTheme="minorHAnsi" w:cs="Calibri"/>
          <w:b/>
        </w:rPr>
        <w:tab/>
      </w:r>
      <w:proofErr w:type="gramStart"/>
      <w:r w:rsidR="005C4224" w:rsidRPr="005C4224">
        <w:rPr>
          <w:rFonts w:asciiTheme="minorHAnsi" w:hAnsiTheme="minorHAnsi" w:cs="Calibri"/>
          <w:b/>
        </w:rPr>
        <w:t>UC(</w:t>
      </w:r>
      <w:proofErr w:type="gramEnd"/>
      <w:r w:rsidR="005C4224" w:rsidRPr="005C4224">
        <w:rPr>
          <w:rFonts w:asciiTheme="minorHAnsi" w:hAnsiTheme="minorHAnsi" w:cs="Calibri"/>
          <w:b/>
        </w:rPr>
        <w:t>20/21) 1</w:t>
      </w:r>
    </w:p>
    <w:p w14:paraId="5748B750" w14:textId="77777777" w:rsidR="0026389A" w:rsidRDefault="005C4224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C4224">
        <w:rPr>
          <w:rFonts w:asciiTheme="minorHAnsi" w:hAnsiTheme="minorHAnsi" w:cs="Calibri"/>
          <w:b/>
        </w:rPr>
        <w:tab/>
      </w:r>
    </w:p>
    <w:p w14:paraId="661A1AD5" w14:textId="144340CA" w:rsidR="0026389A" w:rsidRDefault="00ED6437" w:rsidP="00ED6437">
      <w:pPr>
        <w:spacing w:after="0" w:line="240" w:lineRule="auto"/>
        <w:ind w:left="720"/>
        <w:jc w:val="both"/>
        <w:rPr>
          <w:rFonts w:asciiTheme="minorHAnsi" w:hAnsiTheme="minorHAnsi" w:cs="Calibri"/>
          <w:bCs/>
        </w:rPr>
      </w:pPr>
      <w:r w:rsidRPr="00E46BD5">
        <w:rPr>
          <w:rFonts w:asciiTheme="minorHAnsi" w:hAnsiTheme="minorHAnsi" w:cs="Calibri"/>
          <w:bCs/>
        </w:rPr>
        <w:t xml:space="preserve">Members discussed </w:t>
      </w:r>
      <w:r>
        <w:rPr>
          <w:rFonts w:asciiTheme="minorHAnsi" w:hAnsiTheme="minorHAnsi" w:cs="Calibri"/>
          <w:bCs/>
        </w:rPr>
        <w:t xml:space="preserve">the remit, composition and membership of Court </w:t>
      </w:r>
      <w:r w:rsidR="0064457F" w:rsidRPr="00A10232">
        <w:t xml:space="preserve">and proposed amendments </w:t>
      </w:r>
      <w:r w:rsidR="00E46BD5">
        <w:t xml:space="preserve">to </w:t>
      </w:r>
      <w:r>
        <w:t>S</w:t>
      </w:r>
      <w:r w:rsidR="0064457F" w:rsidRPr="00A10232">
        <w:t>tatute 9</w:t>
      </w:r>
      <w:r>
        <w:t xml:space="preserve">, the remit of Court, </w:t>
      </w:r>
      <w:r w:rsidR="00E46BD5">
        <w:t xml:space="preserve">to </w:t>
      </w:r>
      <w:r w:rsidR="0064457F" w:rsidRPr="00A10232">
        <w:t xml:space="preserve">meet the current needs of the University. </w:t>
      </w:r>
      <w:r>
        <w:t xml:space="preserve"> In particular, members proposed to strengthen </w:t>
      </w:r>
      <w:r w:rsidR="00E46BD5">
        <w:t xml:space="preserve">the remit </w:t>
      </w:r>
      <w:r w:rsidR="00F73B26">
        <w:t>on m</w:t>
      </w:r>
      <w:r w:rsidR="0064457F" w:rsidRPr="00006DCA">
        <w:rPr>
          <w:rFonts w:cs="Calibri"/>
        </w:rPr>
        <w:t>atters relating to equality</w:t>
      </w:r>
      <w:r w:rsidR="0064457F">
        <w:rPr>
          <w:rFonts w:cs="Calibri"/>
        </w:rPr>
        <w:t xml:space="preserve">, </w:t>
      </w:r>
      <w:r w:rsidR="0064457F" w:rsidRPr="00006DCA">
        <w:rPr>
          <w:rFonts w:cs="Calibri"/>
        </w:rPr>
        <w:t>diversity</w:t>
      </w:r>
      <w:r w:rsidR="0064457F">
        <w:rPr>
          <w:rFonts w:cs="Calibri"/>
        </w:rPr>
        <w:t xml:space="preserve"> and inclusion</w:t>
      </w:r>
      <w:r>
        <w:rPr>
          <w:rFonts w:cs="Calibri"/>
        </w:rPr>
        <w:t xml:space="preserve"> and </w:t>
      </w:r>
      <w:r w:rsidR="0064457F" w:rsidRPr="00006DCA">
        <w:rPr>
          <w:rFonts w:cs="Calibri"/>
        </w:rPr>
        <w:t>update the term ‘true and fair’ in the context of financial reporting</w:t>
      </w:r>
      <w:r w:rsidR="00E46BD5">
        <w:rPr>
          <w:rFonts w:cs="Calibri"/>
        </w:rPr>
        <w:t>.</w:t>
      </w:r>
    </w:p>
    <w:p w14:paraId="5045AABE" w14:textId="77777777" w:rsidR="007B30A1" w:rsidRPr="007B30A1" w:rsidRDefault="007B30A1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20B3374E" w14:textId="28346570" w:rsidR="005C4224" w:rsidRDefault="0026389A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ab/>
      </w:r>
      <w:r w:rsidR="005C4224" w:rsidRPr="005C4224">
        <w:rPr>
          <w:rFonts w:asciiTheme="minorHAnsi" w:hAnsiTheme="minorHAnsi" w:cs="Calibri"/>
          <w:bCs/>
        </w:rPr>
        <w:t xml:space="preserve">Court </w:t>
      </w:r>
      <w:r w:rsidR="005C4224" w:rsidRPr="005C4224">
        <w:rPr>
          <w:rFonts w:asciiTheme="minorHAnsi" w:hAnsiTheme="minorHAnsi" w:cs="Calibri"/>
          <w:b/>
        </w:rPr>
        <w:t>noted</w:t>
      </w:r>
      <w:r w:rsidR="005C4224" w:rsidRPr="005C4224">
        <w:rPr>
          <w:rFonts w:asciiTheme="minorHAnsi" w:hAnsiTheme="minorHAnsi" w:cs="Calibri"/>
          <w:bCs/>
        </w:rPr>
        <w:t xml:space="preserve"> the remit, composition and membership of Court for 2020/21 </w:t>
      </w:r>
    </w:p>
    <w:p w14:paraId="7D244EBA" w14:textId="77777777" w:rsidR="00E46BD5" w:rsidRDefault="00E46BD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5BC2B1DA" w14:textId="45D7C23C" w:rsidR="005C4224" w:rsidRDefault="00ED6437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 w:rsidRPr="00ED6437">
        <w:rPr>
          <w:rFonts w:asciiTheme="minorHAnsi" w:hAnsiTheme="minorHAnsi" w:cs="Calibri"/>
          <w:b/>
        </w:rPr>
        <w:t>[A</w:t>
      </w:r>
      <w:r w:rsidR="00E46BD5">
        <w:rPr>
          <w:rFonts w:asciiTheme="minorHAnsi" w:hAnsiTheme="minorHAnsi" w:cs="Calibri"/>
          <w:b/>
        </w:rPr>
        <w:t xml:space="preserve">ction: </w:t>
      </w:r>
      <w:r>
        <w:rPr>
          <w:rFonts w:asciiTheme="minorHAnsi" w:hAnsiTheme="minorHAnsi" w:cs="Calibri"/>
          <w:b/>
        </w:rPr>
        <w:t>U</w:t>
      </w:r>
      <w:r w:rsidR="00E46BD5">
        <w:rPr>
          <w:rFonts w:asciiTheme="minorHAnsi" w:hAnsiTheme="minorHAnsi" w:cs="Calibri"/>
          <w:b/>
        </w:rPr>
        <w:t>niversity Secretary]</w:t>
      </w:r>
    </w:p>
    <w:p w14:paraId="257F02CA" w14:textId="77777777" w:rsidR="00ED6437" w:rsidRPr="00ED6437" w:rsidRDefault="00ED6437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DF6CC6C" w14:textId="47480532" w:rsidR="00F72FE2" w:rsidRPr="005C4224" w:rsidRDefault="005C4224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C4224">
        <w:rPr>
          <w:rFonts w:asciiTheme="minorHAnsi" w:hAnsiTheme="minorHAnsi" w:cs="Calibri"/>
          <w:b/>
        </w:rPr>
        <w:t>5.</w:t>
      </w:r>
      <w:r w:rsidRPr="005C4224">
        <w:rPr>
          <w:rFonts w:asciiTheme="minorHAnsi" w:hAnsiTheme="minorHAnsi" w:cs="Calibri"/>
          <w:b/>
        </w:rPr>
        <w:tab/>
      </w:r>
      <w:r w:rsidR="00F72FE2" w:rsidRPr="005C4224">
        <w:rPr>
          <w:rFonts w:asciiTheme="minorHAnsi" w:hAnsiTheme="minorHAnsi" w:cs="Calibri"/>
          <w:b/>
        </w:rPr>
        <w:t>KEY DEVELOPMENTS IN THE ENVIRONMENT</w:t>
      </w:r>
      <w:r w:rsidR="00F72FE2" w:rsidRPr="005C4224">
        <w:rPr>
          <w:rFonts w:asciiTheme="minorHAnsi" w:hAnsiTheme="minorHAnsi" w:cs="Calibri"/>
          <w:b/>
        </w:rPr>
        <w:tab/>
      </w:r>
      <w:proofErr w:type="gramStart"/>
      <w:r w:rsidR="00F72FE2" w:rsidRPr="005C4224">
        <w:rPr>
          <w:rFonts w:asciiTheme="minorHAnsi" w:hAnsiTheme="minorHAnsi" w:cs="Calibri"/>
          <w:b/>
        </w:rPr>
        <w:t>UC(</w:t>
      </w:r>
      <w:proofErr w:type="gramEnd"/>
      <w:r w:rsidRPr="005C4224">
        <w:rPr>
          <w:rFonts w:asciiTheme="minorHAnsi" w:hAnsiTheme="minorHAnsi" w:cs="Calibri"/>
          <w:b/>
        </w:rPr>
        <w:t>20</w:t>
      </w:r>
      <w:r w:rsidR="00F72FE2" w:rsidRPr="005C4224">
        <w:rPr>
          <w:rFonts w:asciiTheme="minorHAnsi" w:hAnsiTheme="minorHAnsi" w:cs="Calibri"/>
          <w:b/>
        </w:rPr>
        <w:t>/2</w:t>
      </w:r>
      <w:r w:rsidRPr="005C4224">
        <w:rPr>
          <w:rFonts w:asciiTheme="minorHAnsi" w:hAnsiTheme="minorHAnsi" w:cs="Calibri"/>
          <w:b/>
        </w:rPr>
        <w:t>1</w:t>
      </w:r>
      <w:r w:rsidR="00F72FE2" w:rsidRPr="005C4224">
        <w:rPr>
          <w:rFonts w:asciiTheme="minorHAnsi" w:hAnsiTheme="minorHAnsi" w:cs="Calibri"/>
          <w:b/>
        </w:rPr>
        <w:t xml:space="preserve">) </w:t>
      </w:r>
      <w:r w:rsidRPr="005C4224">
        <w:rPr>
          <w:rFonts w:asciiTheme="minorHAnsi" w:hAnsiTheme="minorHAnsi" w:cs="Calibri"/>
          <w:b/>
        </w:rPr>
        <w:t>2</w:t>
      </w:r>
    </w:p>
    <w:p w14:paraId="700D200D" w14:textId="77777777" w:rsidR="00EC5E3D" w:rsidRPr="005C4224" w:rsidRDefault="00EC5E3D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</w:p>
    <w:p w14:paraId="4293843D" w14:textId="77777777" w:rsidR="004E4864" w:rsidRPr="007B30A1" w:rsidRDefault="00E66EC6" w:rsidP="004E4864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7B30A1">
        <w:rPr>
          <w:rFonts w:asciiTheme="minorHAnsi" w:hAnsiTheme="minorHAnsi" w:cs="Calibri"/>
        </w:rPr>
        <w:t>Court received</w:t>
      </w:r>
      <w:r w:rsidR="004E4864" w:rsidRPr="007B30A1">
        <w:rPr>
          <w:rFonts w:asciiTheme="minorHAnsi" w:hAnsiTheme="minorHAnsi" w:cs="Calibri"/>
        </w:rPr>
        <w:t xml:space="preserve"> the report on </w:t>
      </w:r>
      <w:r w:rsidR="004E4864" w:rsidRPr="007B30A1">
        <w:t>latest external factors that present</w:t>
      </w:r>
      <w:r w:rsidR="003A6249" w:rsidRPr="007B30A1">
        <w:t>ed</w:t>
      </w:r>
      <w:r w:rsidR="004E4864" w:rsidRPr="007B30A1">
        <w:t xml:space="preserve"> potential challenges to the University, and recent policy developments in the external environment relevant to the Higher Education (HE) sector. </w:t>
      </w:r>
    </w:p>
    <w:p w14:paraId="3044F932" w14:textId="77777777" w:rsidR="004E4864" w:rsidRPr="005C4224" w:rsidRDefault="004E4864" w:rsidP="00EC5E3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strike/>
          <w:highlight w:val="yellow"/>
        </w:rPr>
      </w:pPr>
    </w:p>
    <w:p w14:paraId="685B55A6" w14:textId="58354E55" w:rsidR="007B30A1" w:rsidRPr="007B30A1" w:rsidRDefault="004E4864" w:rsidP="00EC5E3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8B5DD4">
        <w:rPr>
          <w:rFonts w:asciiTheme="minorHAnsi" w:hAnsiTheme="minorHAnsi" w:cs="Calibri"/>
        </w:rPr>
        <w:t>Member</w:t>
      </w:r>
      <w:r w:rsidR="009C6DCD">
        <w:rPr>
          <w:rFonts w:asciiTheme="minorHAnsi" w:hAnsiTheme="minorHAnsi" w:cs="Calibri"/>
        </w:rPr>
        <w:t>s</w:t>
      </w:r>
      <w:r w:rsidRPr="008B5DD4">
        <w:rPr>
          <w:rFonts w:asciiTheme="minorHAnsi" w:hAnsiTheme="minorHAnsi" w:cs="Calibri"/>
        </w:rPr>
        <w:t xml:space="preserve"> discussed in particular the </w:t>
      </w:r>
      <w:r w:rsidR="007B30A1" w:rsidRPr="008B5DD4">
        <w:rPr>
          <w:rFonts w:asciiTheme="minorHAnsi" w:hAnsiTheme="minorHAnsi" w:cs="Calibri"/>
        </w:rPr>
        <w:t>National Student Survey (NSS) results that placed the University of Stirling at 18</w:t>
      </w:r>
      <w:r w:rsidR="007B30A1" w:rsidRPr="008B5DD4">
        <w:rPr>
          <w:rFonts w:asciiTheme="minorHAnsi" w:hAnsiTheme="minorHAnsi" w:cs="Calibri"/>
          <w:vertAlign w:val="superscript"/>
        </w:rPr>
        <w:t>th</w:t>
      </w:r>
      <w:r w:rsidR="007B30A1" w:rsidRPr="008B5DD4">
        <w:rPr>
          <w:rFonts w:asciiTheme="minorHAnsi" w:hAnsiTheme="minorHAnsi" w:cs="Calibri"/>
        </w:rPr>
        <w:t xml:space="preserve"> in the UK, the Government’s review of the NSS</w:t>
      </w:r>
      <w:r w:rsidR="00F73B26">
        <w:rPr>
          <w:rFonts w:asciiTheme="minorHAnsi" w:hAnsiTheme="minorHAnsi" w:cs="Calibri"/>
        </w:rPr>
        <w:t>,</w:t>
      </w:r>
      <w:r w:rsidR="007B30A1" w:rsidRPr="008B5DD4">
        <w:rPr>
          <w:rFonts w:asciiTheme="minorHAnsi" w:hAnsiTheme="minorHAnsi" w:cs="Calibri"/>
        </w:rPr>
        <w:t xml:space="preserve"> and </w:t>
      </w:r>
      <w:r w:rsidR="003626AA">
        <w:rPr>
          <w:rFonts w:asciiTheme="minorHAnsi" w:hAnsiTheme="minorHAnsi" w:cs="Calibri"/>
        </w:rPr>
        <w:t xml:space="preserve">institutional research awards </w:t>
      </w:r>
      <w:r w:rsidR="00F73B26">
        <w:rPr>
          <w:rFonts w:asciiTheme="minorHAnsi" w:hAnsiTheme="minorHAnsi" w:cs="Calibri"/>
        </w:rPr>
        <w:t xml:space="preserve">successfully secured </w:t>
      </w:r>
      <w:r w:rsidR="003626AA">
        <w:rPr>
          <w:rFonts w:asciiTheme="minorHAnsi" w:hAnsiTheme="minorHAnsi" w:cs="Calibri"/>
        </w:rPr>
        <w:t>during the last financial year.</w:t>
      </w:r>
      <w:r w:rsidR="007B30A1" w:rsidRPr="007B30A1">
        <w:rPr>
          <w:rFonts w:asciiTheme="minorHAnsi" w:hAnsiTheme="minorHAnsi" w:cs="Calibri"/>
        </w:rPr>
        <w:t xml:space="preserve"> </w:t>
      </w:r>
    </w:p>
    <w:p w14:paraId="5B15DDE3" w14:textId="77777777" w:rsidR="007B30A1" w:rsidRDefault="007B30A1" w:rsidP="00EC5E3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strike/>
          <w:highlight w:val="yellow"/>
        </w:rPr>
      </w:pPr>
    </w:p>
    <w:p w14:paraId="57340911" w14:textId="77777777" w:rsidR="00EC5E3D" w:rsidRPr="005C4224" w:rsidRDefault="00E66EC6" w:rsidP="00EC5E3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C4224">
        <w:rPr>
          <w:rFonts w:asciiTheme="minorHAnsi" w:hAnsiTheme="minorHAnsi" w:cs="Calibri"/>
        </w:rPr>
        <w:t xml:space="preserve">Court </w:t>
      </w:r>
      <w:r w:rsidR="00EC5E3D" w:rsidRPr="005C4224">
        <w:rPr>
          <w:rFonts w:asciiTheme="minorHAnsi" w:hAnsiTheme="minorHAnsi" w:cs="Calibri"/>
          <w:b/>
        </w:rPr>
        <w:t>note</w:t>
      </w:r>
      <w:r w:rsidRPr="005C4224">
        <w:rPr>
          <w:rFonts w:asciiTheme="minorHAnsi" w:hAnsiTheme="minorHAnsi" w:cs="Calibri"/>
          <w:b/>
        </w:rPr>
        <w:t>d</w:t>
      </w:r>
      <w:r w:rsidR="00EC5E3D" w:rsidRPr="005C4224">
        <w:rPr>
          <w:rFonts w:asciiTheme="minorHAnsi" w:hAnsiTheme="minorHAnsi" w:cs="Calibri"/>
        </w:rPr>
        <w:t xml:space="preserve"> the recent developments in the external environment</w:t>
      </w:r>
      <w:r w:rsidR="0002417D" w:rsidRPr="005C4224">
        <w:rPr>
          <w:rFonts w:asciiTheme="minorHAnsi" w:hAnsiTheme="minorHAnsi" w:cs="Calibri"/>
        </w:rPr>
        <w:t>.</w:t>
      </w:r>
    </w:p>
    <w:p w14:paraId="047F5EB9" w14:textId="77777777" w:rsidR="00B61894" w:rsidRPr="005C4224" w:rsidRDefault="00B61894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</w:p>
    <w:p w14:paraId="48F6B913" w14:textId="10A8D073" w:rsidR="00840015" w:rsidRPr="005C4224" w:rsidRDefault="005C4224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  <w:r w:rsidRPr="00B15B6D">
        <w:rPr>
          <w:rFonts w:asciiTheme="minorHAnsi" w:hAnsiTheme="minorHAnsi" w:cs="Calibri"/>
          <w:b/>
          <w:i/>
        </w:rPr>
        <w:t>DELIVERY OF THE STRATEGIC PLAN</w:t>
      </w:r>
      <w:r w:rsidR="00840015" w:rsidRPr="00B15B6D">
        <w:rPr>
          <w:rFonts w:asciiTheme="minorHAnsi" w:hAnsiTheme="minorHAnsi" w:cs="Calibri"/>
          <w:b/>
        </w:rPr>
        <w:t xml:space="preserve"> </w:t>
      </w:r>
      <w:r w:rsidR="00840015" w:rsidRPr="00B15B6D">
        <w:rPr>
          <w:rFonts w:asciiTheme="minorHAnsi" w:hAnsiTheme="minorHAnsi" w:cs="Calibri"/>
          <w:b/>
        </w:rPr>
        <w:tab/>
      </w:r>
      <w:r w:rsidR="00840015" w:rsidRPr="005C4224">
        <w:rPr>
          <w:rFonts w:asciiTheme="minorHAnsi" w:hAnsiTheme="minorHAnsi" w:cs="Calibri"/>
          <w:b/>
          <w:highlight w:val="yellow"/>
        </w:rPr>
        <w:t xml:space="preserve"> </w:t>
      </w:r>
    </w:p>
    <w:p w14:paraId="3C26F707" w14:textId="77777777" w:rsidR="00840015" w:rsidRPr="00B15B6D" w:rsidRDefault="00840015" w:rsidP="0084001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DDF9B50" w14:textId="3A7B130C" w:rsidR="00840015" w:rsidRPr="00B15B6D" w:rsidRDefault="005C4224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15B6D">
        <w:rPr>
          <w:rFonts w:asciiTheme="minorHAnsi" w:hAnsiTheme="minorHAnsi" w:cs="Calibri"/>
          <w:b/>
        </w:rPr>
        <w:t>6</w:t>
      </w:r>
      <w:r w:rsidR="00840015" w:rsidRPr="00B15B6D">
        <w:rPr>
          <w:rFonts w:asciiTheme="minorHAnsi" w:hAnsiTheme="minorHAnsi" w:cs="Calibri"/>
          <w:b/>
        </w:rPr>
        <w:t>.</w:t>
      </w:r>
      <w:r w:rsidR="00840015" w:rsidRPr="00B15B6D">
        <w:rPr>
          <w:rFonts w:asciiTheme="minorHAnsi" w:hAnsiTheme="minorHAnsi" w:cs="Calibri"/>
          <w:b/>
        </w:rPr>
        <w:tab/>
      </w:r>
      <w:r w:rsidRPr="00B15B6D">
        <w:rPr>
          <w:rFonts w:asciiTheme="minorHAnsi" w:hAnsiTheme="minorHAnsi" w:cs="Calibri"/>
          <w:b/>
        </w:rPr>
        <w:t xml:space="preserve">PERFORMANCE </w:t>
      </w:r>
      <w:proofErr w:type="gramStart"/>
      <w:r w:rsidRPr="00B15B6D">
        <w:rPr>
          <w:rFonts w:asciiTheme="minorHAnsi" w:hAnsiTheme="minorHAnsi" w:cs="Calibri"/>
          <w:b/>
        </w:rPr>
        <w:t xml:space="preserve">REPORT </w:t>
      </w:r>
      <w:r w:rsidR="00840015" w:rsidRPr="00B15B6D">
        <w:rPr>
          <w:rFonts w:asciiTheme="minorHAnsi" w:hAnsiTheme="minorHAnsi" w:cs="Calibri"/>
          <w:b/>
        </w:rPr>
        <w:t xml:space="preserve"> </w:t>
      </w:r>
      <w:r w:rsidR="00840015" w:rsidRPr="00B15B6D">
        <w:rPr>
          <w:rFonts w:asciiTheme="minorHAnsi" w:hAnsiTheme="minorHAnsi" w:cs="Calibri"/>
          <w:b/>
        </w:rPr>
        <w:tab/>
      </w:r>
      <w:proofErr w:type="gramEnd"/>
      <w:r w:rsidR="00840015" w:rsidRPr="00B15B6D">
        <w:rPr>
          <w:rFonts w:asciiTheme="minorHAnsi" w:hAnsiTheme="minorHAnsi" w:cs="Calibri"/>
          <w:b/>
        </w:rPr>
        <w:t xml:space="preserve"> </w:t>
      </w:r>
      <w:r w:rsidR="00F72FE2" w:rsidRPr="00B15B6D">
        <w:rPr>
          <w:rFonts w:asciiTheme="minorHAnsi" w:hAnsiTheme="minorHAnsi" w:cs="Calibri"/>
          <w:b/>
        </w:rPr>
        <w:t>UC(</w:t>
      </w:r>
      <w:r w:rsidRPr="00B15B6D">
        <w:rPr>
          <w:rFonts w:asciiTheme="minorHAnsi" w:hAnsiTheme="minorHAnsi" w:cs="Calibri"/>
          <w:b/>
        </w:rPr>
        <w:t>20</w:t>
      </w:r>
      <w:r w:rsidR="00F72FE2" w:rsidRPr="00B15B6D">
        <w:rPr>
          <w:rFonts w:asciiTheme="minorHAnsi" w:hAnsiTheme="minorHAnsi" w:cs="Calibri"/>
          <w:b/>
        </w:rPr>
        <w:t>/2</w:t>
      </w:r>
      <w:r w:rsidRPr="00B15B6D">
        <w:rPr>
          <w:rFonts w:asciiTheme="minorHAnsi" w:hAnsiTheme="minorHAnsi" w:cs="Calibri"/>
          <w:b/>
        </w:rPr>
        <w:t>1</w:t>
      </w:r>
      <w:r w:rsidR="00F72FE2" w:rsidRPr="00B15B6D">
        <w:rPr>
          <w:rFonts w:asciiTheme="minorHAnsi" w:hAnsiTheme="minorHAnsi" w:cs="Calibri"/>
          <w:b/>
        </w:rPr>
        <w:t>) 3</w:t>
      </w:r>
    </w:p>
    <w:p w14:paraId="6FF504F8" w14:textId="2B727FE2" w:rsidR="0061636C" w:rsidRPr="003F6D90" w:rsidRDefault="007B30A1" w:rsidP="003F6D9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 xml:space="preserve">Court received a </w:t>
      </w:r>
      <w:r w:rsidRPr="007B30A1">
        <w:rPr>
          <w:rFonts w:eastAsia="Times New Roman"/>
          <w:lang w:eastAsia="en-GB"/>
        </w:rPr>
        <w:t xml:space="preserve">report </w:t>
      </w:r>
      <w:r>
        <w:rPr>
          <w:rFonts w:eastAsia="Times New Roman"/>
          <w:lang w:eastAsia="en-GB"/>
        </w:rPr>
        <w:t xml:space="preserve">on </w:t>
      </w:r>
      <w:r w:rsidRPr="007B30A1">
        <w:rPr>
          <w:rFonts w:eastAsia="Times New Roman"/>
          <w:lang w:eastAsia="en-GB"/>
        </w:rPr>
        <w:t>institutional performance relative to Strategic Plan K</w:t>
      </w:r>
      <w:r w:rsidR="00F73B26">
        <w:rPr>
          <w:rFonts w:eastAsia="Times New Roman"/>
          <w:lang w:eastAsia="en-GB"/>
        </w:rPr>
        <w:t xml:space="preserve">ey </w:t>
      </w:r>
      <w:r w:rsidR="00F73B26" w:rsidRPr="007B30A1">
        <w:rPr>
          <w:rFonts w:eastAsia="Times New Roman"/>
          <w:lang w:eastAsia="en-GB"/>
        </w:rPr>
        <w:t>P</w:t>
      </w:r>
      <w:r w:rsidR="00F73B26">
        <w:rPr>
          <w:rFonts w:eastAsia="Times New Roman"/>
          <w:lang w:eastAsia="en-GB"/>
        </w:rPr>
        <w:t xml:space="preserve">erformance Indicator </w:t>
      </w:r>
      <w:r w:rsidRPr="007B30A1">
        <w:rPr>
          <w:rFonts w:eastAsia="Times New Roman"/>
          <w:lang w:eastAsia="en-GB"/>
        </w:rPr>
        <w:t xml:space="preserve">targets in the previous year and an overview of specific institutional achievements and future priorities. </w:t>
      </w:r>
      <w:r w:rsidR="0061636C">
        <w:rPr>
          <w:rFonts w:asciiTheme="minorHAnsi" w:hAnsiTheme="minorHAnsi" w:cs="Calibri"/>
        </w:rPr>
        <w:t xml:space="preserve">Members discussed in particular performance relating to non-continuation at undergraduate level and the </w:t>
      </w:r>
      <w:r w:rsidR="003F6D90">
        <w:rPr>
          <w:rFonts w:asciiTheme="minorHAnsi" w:hAnsiTheme="minorHAnsi" w:cs="Calibri"/>
        </w:rPr>
        <w:t xml:space="preserve">postgraduate student experience.  </w:t>
      </w:r>
      <w:r w:rsidR="0061636C">
        <w:rPr>
          <w:rFonts w:asciiTheme="minorHAnsi" w:hAnsiTheme="minorHAnsi" w:cs="Calibri"/>
        </w:rPr>
        <w:t xml:space="preserve">  </w:t>
      </w:r>
    </w:p>
    <w:p w14:paraId="3ABC49A8" w14:textId="33CDC45A" w:rsidR="00B15B6D" w:rsidRDefault="00B15B6D" w:rsidP="003A049A">
      <w:pPr>
        <w:pStyle w:val="NormalWeb"/>
        <w:spacing w:before="2" w:after="2"/>
        <w:ind w:left="720"/>
        <w:jc w:val="both"/>
        <w:rPr>
          <w:rFonts w:asciiTheme="minorHAnsi" w:eastAsiaTheme="minorHAnsi" w:hAnsiTheme="minorHAnsi" w:cstheme="minorBidi"/>
          <w:strike/>
          <w:sz w:val="22"/>
          <w:szCs w:val="22"/>
          <w:highlight w:val="yellow"/>
        </w:rPr>
      </w:pPr>
      <w:r>
        <w:rPr>
          <w:rFonts w:asciiTheme="minorHAnsi" w:hAnsiTheme="minorHAnsi" w:cs="Calibri"/>
        </w:rPr>
        <w:t xml:space="preserve">Court </w:t>
      </w:r>
      <w:r w:rsidR="008B6EBE">
        <w:rPr>
          <w:rFonts w:asciiTheme="minorHAnsi" w:hAnsiTheme="minorHAnsi" w:cs="Calibri"/>
          <w:b/>
          <w:bCs/>
        </w:rPr>
        <w:t>not</w:t>
      </w:r>
      <w:r w:rsidR="0061636C" w:rsidRPr="00F73B26">
        <w:rPr>
          <w:rFonts w:asciiTheme="minorHAnsi" w:hAnsiTheme="minorHAnsi" w:cs="Calibri"/>
          <w:b/>
          <w:bCs/>
        </w:rPr>
        <w:t>ed</w:t>
      </w:r>
      <w:r w:rsidRPr="00CE4E2D">
        <w:rPr>
          <w:rFonts w:asciiTheme="minorHAnsi" w:hAnsiTheme="minorHAnsi" w:cs="Calibri"/>
        </w:rPr>
        <w:t xml:space="preserve"> </w:t>
      </w:r>
      <w:r w:rsidR="0061636C">
        <w:rPr>
          <w:rFonts w:asciiTheme="minorHAnsi" w:hAnsiTheme="minorHAnsi" w:cs="Calibri"/>
        </w:rPr>
        <w:t xml:space="preserve">the </w:t>
      </w:r>
      <w:r w:rsidRPr="00CE4E2D">
        <w:rPr>
          <w:rFonts w:asciiTheme="minorHAnsi" w:hAnsiTheme="minorHAnsi" w:cs="Calibri"/>
        </w:rPr>
        <w:t>report on the University’s performance in 201</w:t>
      </w:r>
      <w:r>
        <w:rPr>
          <w:rFonts w:asciiTheme="minorHAnsi" w:hAnsiTheme="minorHAnsi" w:cs="Calibri"/>
        </w:rPr>
        <w:t>9/20</w:t>
      </w:r>
      <w:r w:rsidR="0061636C">
        <w:rPr>
          <w:rFonts w:asciiTheme="minorHAnsi" w:hAnsiTheme="minorHAnsi" w:cs="Calibri"/>
        </w:rPr>
        <w:t>.</w:t>
      </w:r>
    </w:p>
    <w:p w14:paraId="34BF0E9F" w14:textId="77777777" w:rsidR="00B15B6D" w:rsidRPr="000B6F77" w:rsidRDefault="00B15B6D" w:rsidP="003A049A">
      <w:pPr>
        <w:pStyle w:val="NormalWeb"/>
        <w:spacing w:before="2" w:after="2"/>
        <w:ind w:left="720"/>
        <w:jc w:val="both"/>
        <w:rPr>
          <w:rFonts w:asciiTheme="minorHAnsi" w:eastAsiaTheme="minorHAnsi" w:hAnsiTheme="minorHAnsi" w:cstheme="minorBidi"/>
          <w:strike/>
          <w:sz w:val="22"/>
          <w:szCs w:val="22"/>
        </w:rPr>
      </w:pPr>
    </w:p>
    <w:p w14:paraId="16999FB8" w14:textId="67F9B61A" w:rsidR="00840015" w:rsidRPr="00B15B6D" w:rsidRDefault="00B15B6D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0B6F77">
        <w:rPr>
          <w:rFonts w:asciiTheme="minorHAnsi" w:hAnsiTheme="minorHAnsi" w:cs="Calibri"/>
          <w:b/>
        </w:rPr>
        <w:t>7</w:t>
      </w:r>
      <w:r w:rsidR="00840015" w:rsidRPr="000B6F77">
        <w:rPr>
          <w:rFonts w:asciiTheme="minorHAnsi" w:hAnsiTheme="minorHAnsi" w:cs="Calibri"/>
          <w:b/>
        </w:rPr>
        <w:t>.</w:t>
      </w:r>
      <w:r w:rsidR="00840015" w:rsidRPr="000B6F77">
        <w:rPr>
          <w:rFonts w:asciiTheme="minorHAnsi" w:hAnsiTheme="minorHAnsi" w:cs="Calibri"/>
          <w:b/>
        </w:rPr>
        <w:tab/>
      </w:r>
      <w:r w:rsidRPr="000B6F77">
        <w:rPr>
          <w:rFonts w:asciiTheme="minorHAnsi" w:hAnsiTheme="minorHAnsi" w:cs="Calibri"/>
          <w:b/>
        </w:rPr>
        <w:t>UPDATE ON FINANCIAL PLANNING AND INSTITU</w:t>
      </w:r>
      <w:r w:rsidR="003F6D90" w:rsidRPr="000B6F77">
        <w:rPr>
          <w:rFonts w:asciiTheme="minorHAnsi" w:hAnsiTheme="minorHAnsi" w:cs="Calibri"/>
          <w:b/>
        </w:rPr>
        <w:t xml:space="preserve">TIONAL </w:t>
      </w:r>
      <w:r w:rsidRPr="000B6F77">
        <w:rPr>
          <w:rFonts w:asciiTheme="minorHAnsi" w:hAnsiTheme="minorHAnsi" w:cs="Calibri"/>
          <w:b/>
        </w:rPr>
        <w:t>PRIORITIES</w:t>
      </w:r>
      <w:r w:rsidR="00840015" w:rsidRPr="00B15B6D">
        <w:rPr>
          <w:rFonts w:asciiTheme="minorHAnsi" w:hAnsiTheme="minorHAnsi" w:cs="Calibri"/>
          <w:b/>
        </w:rPr>
        <w:tab/>
      </w:r>
      <w:proofErr w:type="gramStart"/>
      <w:r w:rsidR="00840015" w:rsidRPr="00B15B6D">
        <w:rPr>
          <w:rFonts w:asciiTheme="minorHAnsi" w:hAnsiTheme="minorHAnsi" w:cs="Calibri"/>
          <w:b/>
        </w:rPr>
        <w:t>UC(</w:t>
      </w:r>
      <w:proofErr w:type="gramEnd"/>
      <w:r w:rsidRPr="00B15B6D">
        <w:rPr>
          <w:rFonts w:asciiTheme="minorHAnsi" w:hAnsiTheme="minorHAnsi" w:cs="Calibri"/>
          <w:b/>
        </w:rPr>
        <w:t>20</w:t>
      </w:r>
      <w:r w:rsidR="00840015" w:rsidRPr="00B15B6D">
        <w:rPr>
          <w:rFonts w:asciiTheme="minorHAnsi" w:hAnsiTheme="minorHAnsi" w:cs="Calibri"/>
          <w:b/>
        </w:rPr>
        <w:t>/2</w:t>
      </w:r>
      <w:r w:rsidRPr="00B15B6D">
        <w:rPr>
          <w:rFonts w:asciiTheme="minorHAnsi" w:hAnsiTheme="minorHAnsi" w:cs="Calibri"/>
          <w:b/>
        </w:rPr>
        <w:t>1</w:t>
      </w:r>
      <w:r w:rsidR="00840015" w:rsidRPr="00B15B6D">
        <w:rPr>
          <w:rFonts w:asciiTheme="minorHAnsi" w:hAnsiTheme="minorHAnsi" w:cs="Calibri"/>
          <w:b/>
        </w:rPr>
        <w:t>)</w:t>
      </w:r>
      <w:r w:rsidR="00F72FE2" w:rsidRPr="00B15B6D">
        <w:rPr>
          <w:rFonts w:asciiTheme="minorHAnsi" w:hAnsiTheme="minorHAnsi" w:cs="Calibri"/>
          <w:b/>
        </w:rPr>
        <w:t xml:space="preserve"> 4</w:t>
      </w:r>
    </w:p>
    <w:p w14:paraId="5FBEA12D" w14:textId="55154715" w:rsidR="00E8542B" w:rsidRDefault="003F6D90" w:rsidP="00E8542B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Court received </w:t>
      </w:r>
      <w:r w:rsidRPr="003F6D90">
        <w:rPr>
          <w:rFonts w:eastAsia="Times New Roman"/>
          <w:lang w:eastAsia="en-GB"/>
        </w:rPr>
        <w:t xml:space="preserve">an indicative financial forecast for the academic year 2020-21, along with an overview of actions undertaken to support delivery of an acceptable budget position. </w:t>
      </w:r>
    </w:p>
    <w:p w14:paraId="180D7F36" w14:textId="100AF7A9" w:rsidR="00E8542B" w:rsidRDefault="00E8542B" w:rsidP="00E8542B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Member</w:t>
      </w:r>
      <w:r w:rsidR="009C6DCD">
        <w:rPr>
          <w:rFonts w:eastAsia="Times New Roman"/>
          <w:lang w:eastAsia="en-GB"/>
        </w:rPr>
        <w:t>s</w:t>
      </w:r>
      <w:r>
        <w:rPr>
          <w:rFonts w:eastAsia="Times New Roman"/>
          <w:lang w:eastAsia="en-GB"/>
        </w:rPr>
        <w:t xml:space="preserve"> discussed the </w:t>
      </w:r>
      <w:r w:rsidR="003F6D90" w:rsidRPr="003F6D90">
        <w:rPr>
          <w:rFonts w:eastAsia="Times New Roman"/>
          <w:lang w:eastAsia="en-GB"/>
        </w:rPr>
        <w:t>indicative financial position presented in comparison to the Court- endorsed budget ‘Scenario 1’ (UC (19/20) 53),</w:t>
      </w:r>
      <w:r>
        <w:rPr>
          <w:rFonts w:eastAsia="Times New Roman"/>
          <w:lang w:eastAsia="en-GB"/>
        </w:rPr>
        <w:t xml:space="preserve"> and the income and expenditure assumptions underlying the scenario. </w:t>
      </w:r>
    </w:p>
    <w:p w14:paraId="4543EA19" w14:textId="3181588C" w:rsidR="003F6D90" w:rsidRPr="003F6D90" w:rsidRDefault="00E8542B" w:rsidP="00E854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 xml:space="preserve">Court </w:t>
      </w:r>
      <w:r w:rsidR="003F6D90" w:rsidRPr="003F6D90">
        <w:rPr>
          <w:rFonts w:eastAsia="Times New Roman"/>
          <w:b/>
          <w:bCs/>
          <w:lang w:eastAsia="en-GB"/>
        </w:rPr>
        <w:t>conside</w:t>
      </w:r>
      <w:r>
        <w:rPr>
          <w:rFonts w:eastAsia="Times New Roman"/>
          <w:b/>
          <w:bCs/>
          <w:lang w:eastAsia="en-GB"/>
        </w:rPr>
        <w:t>red</w:t>
      </w:r>
      <w:r w:rsidR="003F6D90" w:rsidRPr="003F6D90">
        <w:rPr>
          <w:rFonts w:eastAsia="Times New Roman"/>
          <w:b/>
          <w:bCs/>
          <w:lang w:eastAsia="en-GB"/>
        </w:rPr>
        <w:t xml:space="preserve"> </w:t>
      </w:r>
      <w:r w:rsidR="003F6D90" w:rsidRPr="003F6D90">
        <w:rPr>
          <w:rFonts w:eastAsia="Times New Roman"/>
          <w:lang w:eastAsia="en-GB"/>
        </w:rPr>
        <w:t>and comment</w:t>
      </w:r>
      <w:r>
        <w:rPr>
          <w:rFonts w:eastAsia="Times New Roman"/>
          <w:lang w:eastAsia="en-GB"/>
        </w:rPr>
        <w:t>ed</w:t>
      </w:r>
      <w:r w:rsidR="003F6D90" w:rsidRPr="003F6D90">
        <w:rPr>
          <w:rFonts w:eastAsia="Times New Roman"/>
          <w:lang w:eastAsia="en-GB"/>
        </w:rPr>
        <w:t xml:space="preserve"> </w:t>
      </w:r>
      <w:r w:rsidR="000B6F77">
        <w:rPr>
          <w:rFonts w:eastAsia="Times New Roman"/>
          <w:lang w:eastAsia="en-GB"/>
        </w:rPr>
        <w:t xml:space="preserve">in particular </w:t>
      </w:r>
      <w:r w:rsidR="003F6D90" w:rsidRPr="003F6D90">
        <w:rPr>
          <w:rFonts w:eastAsia="Times New Roman"/>
          <w:lang w:eastAsia="en-GB"/>
        </w:rPr>
        <w:t>on the indicative 2020-21 financial forecast</w:t>
      </w:r>
      <w:r w:rsidR="000B6F77">
        <w:rPr>
          <w:rFonts w:eastAsia="Times New Roman"/>
          <w:lang w:eastAsia="en-GB"/>
        </w:rPr>
        <w:t xml:space="preserve">, the University’s cash position, </w:t>
      </w:r>
      <w:r w:rsidR="00D67168">
        <w:rPr>
          <w:rFonts w:eastAsia="Times New Roman"/>
          <w:lang w:eastAsia="en-GB"/>
        </w:rPr>
        <w:t xml:space="preserve">the restructuring and reconfiguration of staffing resource and the </w:t>
      </w:r>
      <w:r w:rsidR="00C4430D">
        <w:rPr>
          <w:rFonts w:eastAsia="Times New Roman"/>
          <w:lang w:eastAsia="en-GB"/>
        </w:rPr>
        <w:t xml:space="preserve">valuation of the </w:t>
      </w:r>
      <w:r w:rsidR="00D67168">
        <w:rPr>
          <w:rFonts w:eastAsia="Times New Roman"/>
          <w:lang w:eastAsia="en-GB"/>
        </w:rPr>
        <w:t xml:space="preserve">Universities Superannuation Scheme. </w:t>
      </w:r>
      <w:r w:rsidR="003F6D90" w:rsidRPr="003F6D90">
        <w:rPr>
          <w:rFonts w:eastAsia="Times New Roman"/>
          <w:lang w:eastAsia="en-GB"/>
        </w:rPr>
        <w:t xml:space="preserve"> </w:t>
      </w:r>
    </w:p>
    <w:p w14:paraId="5978A03D" w14:textId="468BECF9" w:rsidR="003F6D90" w:rsidRPr="00C4430D" w:rsidRDefault="003F6D90" w:rsidP="00E854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3F6D90">
        <w:rPr>
          <w:rFonts w:eastAsia="Times New Roman"/>
          <w:lang w:eastAsia="en-GB"/>
        </w:rPr>
        <w:t xml:space="preserve">Court </w:t>
      </w:r>
      <w:r w:rsidRPr="003F6D90">
        <w:rPr>
          <w:rFonts w:eastAsia="Times New Roman"/>
          <w:b/>
          <w:bCs/>
          <w:lang w:eastAsia="en-GB"/>
        </w:rPr>
        <w:t>approve</w:t>
      </w:r>
      <w:r w:rsidR="00E8542B">
        <w:rPr>
          <w:rFonts w:eastAsia="Times New Roman"/>
          <w:b/>
          <w:bCs/>
          <w:lang w:eastAsia="en-GB"/>
        </w:rPr>
        <w:t>d</w:t>
      </w:r>
      <w:r w:rsidRPr="003F6D90">
        <w:rPr>
          <w:rFonts w:eastAsia="Times New Roman"/>
          <w:b/>
          <w:bCs/>
          <w:lang w:eastAsia="en-GB"/>
        </w:rPr>
        <w:t xml:space="preserve"> </w:t>
      </w:r>
      <w:r w:rsidRPr="003F6D90">
        <w:rPr>
          <w:rFonts w:eastAsia="Times New Roman"/>
          <w:lang w:eastAsia="en-GB"/>
        </w:rPr>
        <w:t xml:space="preserve">the financing arrangements detailed in Appendix </w:t>
      </w:r>
      <w:r w:rsidR="000B6F77" w:rsidRPr="003F6D90">
        <w:rPr>
          <w:rFonts w:eastAsia="Times New Roman"/>
          <w:lang w:eastAsia="en-GB"/>
        </w:rPr>
        <w:t>2 and</w:t>
      </w:r>
      <w:r w:rsidRPr="003F6D90">
        <w:rPr>
          <w:rFonts w:eastAsia="Times New Roman"/>
          <w:lang w:eastAsia="en-GB"/>
        </w:rPr>
        <w:t xml:space="preserve"> </w:t>
      </w:r>
      <w:r w:rsidR="00E8542B">
        <w:rPr>
          <w:rFonts w:eastAsia="Times New Roman"/>
          <w:lang w:eastAsia="en-GB"/>
        </w:rPr>
        <w:t xml:space="preserve">agreed </w:t>
      </w:r>
      <w:r w:rsidR="000B6F77">
        <w:rPr>
          <w:rFonts w:eastAsia="Times New Roman"/>
          <w:lang w:eastAsia="en-GB"/>
        </w:rPr>
        <w:t xml:space="preserve">to commence </w:t>
      </w:r>
      <w:r w:rsidRPr="00C4430D">
        <w:rPr>
          <w:rFonts w:eastAsia="Times New Roman"/>
          <w:lang w:eastAsia="en-GB"/>
        </w:rPr>
        <w:t>preparatory work and negotiations on terms and conditions</w:t>
      </w:r>
      <w:r w:rsidR="000B6F77" w:rsidRPr="00C4430D">
        <w:rPr>
          <w:rFonts w:eastAsia="Times New Roman"/>
          <w:lang w:eastAsia="en-GB"/>
        </w:rPr>
        <w:t>.</w:t>
      </w:r>
      <w:r w:rsidRPr="00C4430D">
        <w:rPr>
          <w:rFonts w:eastAsia="Times New Roman"/>
          <w:lang w:eastAsia="en-GB"/>
        </w:rPr>
        <w:t xml:space="preserve"> </w:t>
      </w:r>
    </w:p>
    <w:p w14:paraId="481F4E33" w14:textId="3CF69075" w:rsidR="00577DB2" w:rsidRPr="00C4430D" w:rsidRDefault="00B15B6D" w:rsidP="00577DB2">
      <w:pPr>
        <w:tabs>
          <w:tab w:val="left" w:pos="709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C4430D">
        <w:rPr>
          <w:rFonts w:asciiTheme="minorHAnsi" w:hAnsiTheme="minorHAnsi" w:cs="Calibri"/>
          <w:b/>
        </w:rPr>
        <w:t>8</w:t>
      </w:r>
      <w:r w:rsidR="00577DB2" w:rsidRPr="00C4430D">
        <w:rPr>
          <w:rFonts w:asciiTheme="minorHAnsi" w:hAnsiTheme="minorHAnsi" w:cs="Calibri"/>
          <w:b/>
        </w:rPr>
        <w:t>.</w:t>
      </w:r>
      <w:r w:rsidR="00577DB2" w:rsidRPr="00C4430D">
        <w:rPr>
          <w:rFonts w:asciiTheme="minorHAnsi" w:hAnsiTheme="minorHAnsi" w:cs="Calibri"/>
          <w:b/>
        </w:rPr>
        <w:tab/>
      </w:r>
      <w:r w:rsidRPr="00C4430D">
        <w:rPr>
          <w:rFonts w:asciiTheme="minorHAnsi" w:hAnsiTheme="minorHAnsi" w:cs="Calibri"/>
          <w:b/>
        </w:rPr>
        <w:t>MANAGEMENT ACCOUNTS</w:t>
      </w:r>
      <w:r w:rsidR="00577DB2" w:rsidRPr="00C4430D">
        <w:rPr>
          <w:rFonts w:asciiTheme="minorHAnsi" w:hAnsiTheme="minorHAnsi" w:cs="Calibri"/>
          <w:b/>
        </w:rPr>
        <w:tab/>
      </w:r>
      <w:proofErr w:type="gramStart"/>
      <w:r w:rsidR="00577DB2" w:rsidRPr="00C4430D">
        <w:rPr>
          <w:rFonts w:asciiTheme="minorHAnsi" w:hAnsiTheme="minorHAnsi" w:cs="Calibri"/>
          <w:b/>
        </w:rPr>
        <w:t>UC(</w:t>
      </w:r>
      <w:proofErr w:type="gramEnd"/>
      <w:r w:rsidRPr="00C4430D">
        <w:rPr>
          <w:rFonts w:asciiTheme="minorHAnsi" w:hAnsiTheme="minorHAnsi" w:cs="Calibri"/>
          <w:b/>
        </w:rPr>
        <w:t>20</w:t>
      </w:r>
      <w:r w:rsidR="00577DB2" w:rsidRPr="00C4430D">
        <w:rPr>
          <w:rFonts w:asciiTheme="minorHAnsi" w:hAnsiTheme="minorHAnsi" w:cs="Calibri"/>
          <w:b/>
        </w:rPr>
        <w:t>/2</w:t>
      </w:r>
      <w:r w:rsidRPr="00C4430D">
        <w:rPr>
          <w:rFonts w:asciiTheme="minorHAnsi" w:hAnsiTheme="minorHAnsi" w:cs="Calibri"/>
          <w:b/>
        </w:rPr>
        <w:t>1)</w:t>
      </w:r>
      <w:r w:rsidR="00577DB2" w:rsidRPr="00C4430D">
        <w:rPr>
          <w:rFonts w:asciiTheme="minorHAnsi" w:hAnsiTheme="minorHAnsi" w:cs="Calibri"/>
          <w:b/>
        </w:rPr>
        <w:t xml:space="preserve"> 5</w:t>
      </w:r>
    </w:p>
    <w:p w14:paraId="7407E2D3" w14:textId="77777777" w:rsidR="003A049A" w:rsidRPr="00C4430D" w:rsidRDefault="004E3FCB" w:rsidP="00840015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C4430D">
        <w:rPr>
          <w:rFonts w:asciiTheme="minorHAnsi" w:hAnsiTheme="minorHAnsi" w:cs="Calibri"/>
        </w:rPr>
        <w:tab/>
      </w:r>
    </w:p>
    <w:p w14:paraId="0041751F" w14:textId="38C806F0" w:rsidR="00E8542B" w:rsidRDefault="00B15B6D" w:rsidP="00E8542B">
      <w:pPr>
        <w:ind w:left="720"/>
        <w:contextualSpacing/>
        <w:jc w:val="both"/>
        <w:rPr>
          <w:rFonts w:eastAsia="Times New Roman"/>
          <w:lang w:eastAsia="en-GB"/>
        </w:rPr>
      </w:pPr>
      <w:r>
        <w:rPr>
          <w:rFonts w:asciiTheme="minorHAnsi" w:hAnsiTheme="minorHAnsi" w:cs="Calibri"/>
        </w:rPr>
        <w:t xml:space="preserve">Court </w:t>
      </w:r>
      <w:r w:rsidR="00E8542B">
        <w:rPr>
          <w:rFonts w:asciiTheme="minorHAnsi" w:hAnsiTheme="minorHAnsi" w:cs="Calibri"/>
        </w:rPr>
        <w:t xml:space="preserve">received </w:t>
      </w:r>
      <w:r w:rsidR="00E8542B" w:rsidRPr="00E8542B">
        <w:rPr>
          <w:rFonts w:eastAsia="Times New Roman"/>
          <w:lang w:eastAsia="en-GB"/>
        </w:rPr>
        <w:t xml:space="preserve">an analysis of the actual </w:t>
      </w:r>
      <w:r w:rsidR="00E8542B" w:rsidRPr="00C4430D">
        <w:rPr>
          <w:rFonts w:eastAsia="Times New Roman"/>
          <w:lang w:eastAsia="en-GB"/>
        </w:rPr>
        <w:t>preliminary</w:t>
      </w:r>
      <w:r w:rsidR="00E8542B" w:rsidRPr="00E8542B">
        <w:rPr>
          <w:rFonts w:eastAsia="Times New Roman"/>
          <w:i/>
          <w:iCs/>
          <w:lang w:eastAsia="en-GB"/>
        </w:rPr>
        <w:t xml:space="preserve"> </w:t>
      </w:r>
      <w:r w:rsidR="00E8542B" w:rsidRPr="00E8542B">
        <w:rPr>
          <w:rFonts w:eastAsia="Times New Roman"/>
          <w:lang w:eastAsia="en-GB"/>
        </w:rPr>
        <w:t xml:space="preserve">financial performance for full year 2019-20 against budget and the post </w:t>
      </w:r>
      <w:r w:rsidR="00C4430D">
        <w:rPr>
          <w:rFonts w:eastAsia="Times New Roman"/>
          <w:lang w:eastAsia="en-GB"/>
        </w:rPr>
        <w:t>C</w:t>
      </w:r>
      <w:r w:rsidR="00E8542B" w:rsidRPr="00E8542B">
        <w:rPr>
          <w:rFonts w:eastAsia="Times New Roman"/>
          <w:lang w:eastAsia="en-GB"/>
        </w:rPr>
        <w:t>ovid-19 forecast prepared for the Scottish Funding Council (SFC) in April 2020 and previously reported to Court.</w:t>
      </w:r>
    </w:p>
    <w:p w14:paraId="53F8C898" w14:textId="77777777" w:rsidR="00E8542B" w:rsidRDefault="00E8542B" w:rsidP="00E8542B">
      <w:pPr>
        <w:ind w:left="720"/>
        <w:contextualSpacing/>
        <w:jc w:val="both"/>
        <w:rPr>
          <w:rFonts w:eastAsia="Times New Roman"/>
          <w:lang w:eastAsia="en-GB"/>
        </w:rPr>
      </w:pPr>
    </w:p>
    <w:p w14:paraId="61182B57" w14:textId="5CE0E727" w:rsidR="00E8542B" w:rsidRPr="00E8542B" w:rsidRDefault="00E8542B" w:rsidP="007C75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en-GB"/>
        </w:rPr>
      </w:pPr>
      <w:r>
        <w:rPr>
          <w:rFonts w:eastAsia="Times New Roman"/>
          <w:lang w:eastAsia="en-GB"/>
        </w:rPr>
        <w:t xml:space="preserve">Members discussed the </w:t>
      </w:r>
      <w:r w:rsidRPr="00E8542B">
        <w:rPr>
          <w:rFonts w:eastAsia="Times New Roman"/>
          <w:lang w:eastAsia="en-GB"/>
        </w:rPr>
        <w:t>key headlines from the 2019-20 full year management accounts</w:t>
      </w:r>
      <w:r>
        <w:rPr>
          <w:rFonts w:eastAsia="Times New Roman"/>
          <w:lang w:eastAsia="en-GB"/>
        </w:rPr>
        <w:t xml:space="preserve"> </w:t>
      </w:r>
      <w:r w:rsidRPr="007C75D4">
        <w:rPr>
          <w:rFonts w:eastAsia="Times New Roman"/>
          <w:lang w:eastAsia="en-GB"/>
        </w:rPr>
        <w:t xml:space="preserve">including </w:t>
      </w:r>
      <w:r w:rsidR="007C75D4" w:rsidRPr="007C75D4">
        <w:rPr>
          <w:rFonts w:eastAsia="Times New Roman"/>
          <w:lang w:eastAsia="en-GB"/>
        </w:rPr>
        <w:t xml:space="preserve">achievement of the savings target and the </w:t>
      </w:r>
      <w:r w:rsidRPr="007C75D4">
        <w:rPr>
          <w:rFonts w:eastAsia="Times New Roman"/>
          <w:lang w:eastAsia="en-GB"/>
        </w:rPr>
        <w:t xml:space="preserve">actual </w:t>
      </w:r>
      <w:r w:rsidRPr="007C75D4">
        <w:rPr>
          <w:rFonts w:eastAsia="Times New Roman"/>
          <w:i/>
          <w:iCs/>
          <w:lang w:eastAsia="en-GB"/>
        </w:rPr>
        <w:t xml:space="preserve">preliminary </w:t>
      </w:r>
      <w:r w:rsidRPr="007C75D4">
        <w:rPr>
          <w:rFonts w:eastAsia="Times New Roman"/>
          <w:lang w:eastAsia="en-GB"/>
        </w:rPr>
        <w:t>out-turn outturn deficit of £2.8m, which represents a £2.3m favourable variance to April 2020 SFC forecast outturn and a favourable variance of £0.7m against the Court approved budget</w:t>
      </w:r>
      <w:r w:rsidR="007C75D4" w:rsidRPr="007C75D4">
        <w:rPr>
          <w:rFonts w:eastAsia="Times New Roman"/>
          <w:lang w:eastAsia="en-GB"/>
        </w:rPr>
        <w:t xml:space="preserve">.  </w:t>
      </w:r>
    </w:p>
    <w:p w14:paraId="774389B6" w14:textId="4476C7C0" w:rsidR="00E8542B" w:rsidRPr="00E8542B" w:rsidRDefault="00E8542B" w:rsidP="00E8542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>C</w:t>
      </w:r>
      <w:r w:rsidRPr="00E8542B">
        <w:rPr>
          <w:rFonts w:eastAsia="Times New Roman"/>
          <w:lang w:eastAsia="en-GB"/>
        </w:rPr>
        <w:t xml:space="preserve">ourt </w:t>
      </w:r>
      <w:r w:rsidRPr="00E8542B">
        <w:rPr>
          <w:rFonts w:eastAsia="Times New Roman"/>
          <w:b/>
          <w:bCs/>
          <w:lang w:eastAsia="en-GB"/>
        </w:rPr>
        <w:t>noted</w:t>
      </w:r>
      <w:r w:rsidRPr="00E8542B">
        <w:rPr>
          <w:rFonts w:eastAsia="Times New Roman"/>
          <w:lang w:eastAsia="en-GB"/>
        </w:rPr>
        <w:t xml:space="preserve"> the University’s </w:t>
      </w:r>
      <w:r w:rsidRPr="00E8542B">
        <w:rPr>
          <w:rFonts w:eastAsia="Times New Roman"/>
          <w:i/>
          <w:iCs/>
          <w:lang w:eastAsia="en-GB"/>
        </w:rPr>
        <w:t xml:space="preserve">preliminary </w:t>
      </w:r>
      <w:r w:rsidRPr="00E8542B">
        <w:rPr>
          <w:rFonts w:eastAsia="Times New Roman"/>
          <w:lang w:eastAsia="en-GB"/>
        </w:rPr>
        <w:t xml:space="preserve">management accounts for the 2019- 20 financial year. </w:t>
      </w:r>
    </w:p>
    <w:p w14:paraId="1D80BEBF" w14:textId="337228B3" w:rsidR="00B15B6D" w:rsidRPr="00B15B6D" w:rsidRDefault="00B15B6D" w:rsidP="00840015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Cs/>
        </w:rPr>
      </w:pPr>
      <w:r w:rsidRPr="00B15B6D">
        <w:rPr>
          <w:rFonts w:asciiTheme="minorHAnsi" w:hAnsiTheme="minorHAnsi" w:cs="Calibri"/>
          <w:b/>
          <w:iCs/>
        </w:rPr>
        <w:t>9.          TUITION FEE SETTING</w:t>
      </w:r>
      <w:r w:rsidRPr="00B15B6D">
        <w:rPr>
          <w:rFonts w:asciiTheme="minorHAnsi" w:hAnsiTheme="minorHAnsi" w:cs="Calibri"/>
          <w:b/>
          <w:iCs/>
        </w:rPr>
        <w:tab/>
      </w:r>
      <w:proofErr w:type="gramStart"/>
      <w:r w:rsidRPr="00B15B6D">
        <w:rPr>
          <w:rFonts w:asciiTheme="minorHAnsi" w:hAnsiTheme="minorHAnsi" w:cs="Calibri"/>
          <w:b/>
          <w:iCs/>
        </w:rPr>
        <w:t>UC(</w:t>
      </w:r>
      <w:proofErr w:type="gramEnd"/>
      <w:r w:rsidRPr="00B15B6D">
        <w:rPr>
          <w:rFonts w:asciiTheme="minorHAnsi" w:hAnsiTheme="minorHAnsi" w:cs="Calibri"/>
          <w:b/>
          <w:iCs/>
        </w:rPr>
        <w:t>20/21) 6</w:t>
      </w:r>
    </w:p>
    <w:p w14:paraId="1A31270F" w14:textId="77777777" w:rsidR="00036EDD" w:rsidRDefault="00B15B6D" w:rsidP="00036EDD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Cs/>
        </w:rPr>
      </w:pPr>
      <w:r w:rsidRPr="00B15B6D">
        <w:rPr>
          <w:rFonts w:asciiTheme="minorHAnsi" w:hAnsiTheme="minorHAnsi" w:cs="Calibri"/>
          <w:b/>
          <w:iCs/>
        </w:rPr>
        <w:tab/>
      </w:r>
    </w:p>
    <w:p w14:paraId="53AB0891" w14:textId="5D8D1B36" w:rsidR="00036EDD" w:rsidRDefault="00036EDD" w:rsidP="00036EDD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Court received a paper that </w:t>
      </w:r>
      <w:r w:rsidRPr="00036EDD">
        <w:rPr>
          <w:rFonts w:eastAsia="Times New Roman"/>
          <w:lang w:eastAsia="en-GB"/>
        </w:rPr>
        <w:t>present</w:t>
      </w:r>
      <w:r>
        <w:rPr>
          <w:rFonts w:eastAsia="Times New Roman"/>
          <w:lang w:eastAsia="en-GB"/>
        </w:rPr>
        <w:t>ed</w:t>
      </w:r>
      <w:r w:rsidRPr="00036EDD">
        <w:rPr>
          <w:rFonts w:eastAsia="Times New Roman"/>
          <w:lang w:eastAsia="en-GB"/>
        </w:rPr>
        <w:t xml:space="preserve"> a range of tuition fee recommendations for 2021/22 for entrants at all levels of study. </w:t>
      </w:r>
      <w:r>
        <w:rPr>
          <w:rFonts w:eastAsia="Times New Roman"/>
          <w:lang w:eastAsia="en-GB"/>
        </w:rPr>
        <w:t xml:space="preserve">It was confirmed that the </w:t>
      </w:r>
      <w:r w:rsidRPr="00036EDD">
        <w:rPr>
          <w:rFonts w:eastAsia="Times New Roman"/>
          <w:lang w:eastAsia="en-GB"/>
        </w:rPr>
        <w:t xml:space="preserve">fee setting process is </w:t>
      </w:r>
      <w:r w:rsidR="00F73B26">
        <w:rPr>
          <w:rFonts w:eastAsia="Times New Roman"/>
          <w:lang w:eastAsia="en-GB"/>
        </w:rPr>
        <w:t xml:space="preserve">undertaken </w:t>
      </w:r>
      <w:r w:rsidRPr="00036EDD">
        <w:rPr>
          <w:rFonts w:eastAsia="Times New Roman"/>
          <w:lang w:eastAsia="en-GB"/>
        </w:rPr>
        <w:t>annual</w:t>
      </w:r>
      <w:r w:rsidR="00F73B26">
        <w:rPr>
          <w:rFonts w:eastAsia="Times New Roman"/>
          <w:lang w:eastAsia="en-GB"/>
        </w:rPr>
        <w:t xml:space="preserve">ly and the </w:t>
      </w:r>
      <w:r w:rsidRPr="00036EDD">
        <w:rPr>
          <w:rFonts w:eastAsia="Times New Roman"/>
          <w:lang w:eastAsia="en-GB"/>
        </w:rPr>
        <w:t>exercise considers the current and future market conditions, inflation costs, government policy and competitor pricing, and aim</w:t>
      </w:r>
      <w:r w:rsidR="008B6EBE">
        <w:rPr>
          <w:rFonts w:eastAsia="Times New Roman"/>
          <w:lang w:eastAsia="en-GB"/>
        </w:rPr>
        <w:t>ed</w:t>
      </w:r>
      <w:r w:rsidRPr="00036EDD">
        <w:rPr>
          <w:rFonts w:eastAsia="Times New Roman"/>
          <w:lang w:eastAsia="en-GB"/>
        </w:rPr>
        <w:t xml:space="preserve"> to deliver a clear and consistent fee structure across the portfolio. </w:t>
      </w:r>
    </w:p>
    <w:p w14:paraId="0A186041" w14:textId="77777777" w:rsidR="00036EDD" w:rsidRDefault="00036EDD" w:rsidP="00036EDD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eastAsia="Times New Roman"/>
          <w:lang w:eastAsia="en-GB"/>
        </w:rPr>
      </w:pPr>
    </w:p>
    <w:p w14:paraId="5FF795CE" w14:textId="0F8AB1D3" w:rsidR="00036EDD" w:rsidRPr="00036EDD" w:rsidRDefault="00036EDD" w:rsidP="00462451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 xml:space="preserve">Members noted the </w:t>
      </w:r>
      <w:r w:rsidR="00F73B26">
        <w:rPr>
          <w:rFonts w:eastAsia="Times New Roman"/>
          <w:lang w:eastAsia="en-GB"/>
        </w:rPr>
        <w:t xml:space="preserve">recommendations </w:t>
      </w:r>
      <w:r>
        <w:rPr>
          <w:rFonts w:eastAsia="Times New Roman"/>
          <w:lang w:eastAsia="en-GB"/>
        </w:rPr>
        <w:t>had been endorsed by the Fees and Scholarships Working Group and the University Strategy and Policy Group (USPG), an</w:t>
      </w:r>
      <w:r w:rsidR="00462451">
        <w:rPr>
          <w:rFonts w:eastAsia="Times New Roman"/>
          <w:lang w:eastAsia="en-GB"/>
        </w:rPr>
        <w:t>d</w:t>
      </w:r>
      <w:r>
        <w:rPr>
          <w:rFonts w:eastAsia="Times New Roman"/>
          <w:lang w:eastAsia="en-GB"/>
        </w:rPr>
        <w:t xml:space="preserve"> discussed the considerations taken into account this year due to the </w:t>
      </w:r>
      <w:r w:rsidRPr="00036EDD">
        <w:rPr>
          <w:rFonts w:eastAsia="Times New Roman"/>
          <w:lang w:eastAsia="en-GB"/>
        </w:rPr>
        <w:t>impact of Covid-19</w:t>
      </w:r>
      <w:r w:rsidR="00462451">
        <w:rPr>
          <w:rFonts w:eastAsia="Times New Roman"/>
          <w:lang w:eastAsia="en-GB"/>
        </w:rPr>
        <w:t xml:space="preserve"> and </w:t>
      </w:r>
      <w:r>
        <w:rPr>
          <w:rFonts w:eastAsia="Times New Roman"/>
          <w:lang w:eastAsia="en-GB"/>
        </w:rPr>
        <w:t xml:space="preserve">the </w:t>
      </w:r>
      <w:r w:rsidRPr="00036EDD">
        <w:rPr>
          <w:rFonts w:eastAsia="Times New Roman"/>
          <w:lang w:eastAsia="en-GB"/>
        </w:rPr>
        <w:t>detailed benchmarking exercise that informed the recommended fee levels</w:t>
      </w:r>
      <w:r w:rsidR="00462451">
        <w:rPr>
          <w:rFonts w:eastAsia="Times New Roman"/>
          <w:lang w:eastAsia="en-GB"/>
        </w:rPr>
        <w:t xml:space="preserve">. </w:t>
      </w:r>
      <w:r>
        <w:rPr>
          <w:rFonts w:eastAsia="Times New Roman"/>
          <w:lang w:eastAsia="en-GB"/>
        </w:rPr>
        <w:t xml:space="preserve"> </w:t>
      </w:r>
      <w:r w:rsidRPr="00036EDD">
        <w:rPr>
          <w:rFonts w:eastAsia="Times New Roman"/>
          <w:lang w:eastAsia="en-GB"/>
        </w:rPr>
        <w:t xml:space="preserve"> </w:t>
      </w:r>
    </w:p>
    <w:p w14:paraId="383AD734" w14:textId="47E353FA" w:rsidR="00036EDD" w:rsidRPr="00036EDD" w:rsidRDefault="00036EDD" w:rsidP="00036EDD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 xml:space="preserve">Court </w:t>
      </w:r>
      <w:r w:rsidRPr="00036EDD">
        <w:rPr>
          <w:rFonts w:eastAsia="Times New Roman"/>
          <w:b/>
          <w:bCs/>
          <w:lang w:eastAsia="en-GB"/>
        </w:rPr>
        <w:t>approve</w:t>
      </w:r>
      <w:r>
        <w:rPr>
          <w:rFonts w:eastAsia="Times New Roman"/>
          <w:b/>
          <w:bCs/>
          <w:lang w:eastAsia="en-GB"/>
        </w:rPr>
        <w:t>d</w:t>
      </w:r>
      <w:r w:rsidRPr="00036EDD">
        <w:rPr>
          <w:rFonts w:eastAsia="Times New Roman"/>
          <w:b/>
          <w:bCs/>
          <w:lang w:eastAsia="en-GB"/>
        </w:rPr>
        <w:t xml:space="preserve"> </w:t>
      </w:r>
      <w:r w:rsidRPr="00036EDD">
        <w:rPr>
          <w:rFonts w:eastAsia="Times New Roman"/>
          <w:lang w:eastAsia="en-GB"/>
        </w:rPr>
        <w:t xml:space="preserve">the 2021/22 fee recommendations. </w:t>
      </w:r>
    </w:p>
    <w:p w14:paraId="6F758DC6" w14:textId="4190045B" w:rsidR="00462451" w:rsidRDefault="00462451" w:rsidP="00462451">
      <w:pPr>
        <w:spacing w:before="100" w:beforeAutospacing="1" w:after="100" w:afterAutospacing="1" w:line="240" w:lineRule="auto"/>
        <w:ind w:left="709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It was confirmed that </w:t>
      </w:r>
      <w:r w:rsidR="00036EDD" w:rsidRPr="00036EDD">
        <w:rPr>
          <w:rFonts w:eastAsia="Times New Roman"/>
          <w:lang w:eastAsia="en-GB"/>
        </w:rPr>
        <w:t xml:space="preserve">EU-domiciled entrants attending Scottish universities would no longer qualify for a ‘Home’ fee status and the associated tuition fee support beyond academic year 2020/21. </w:t>
      </w:r>
      <w:r>
        <w:rPr>
          <w:rFonts w:eastAsia="Times New Roman"/>
          <w:lang w:eastAsia="en-GB"/>
        </w:rPr>
        <w:t xml:space="preserve"> Members noted as a consequence</w:t>
      </w:r>
      <w:r w:rsidR="00F73B26">
        <w:rPr>
          <w:rFonts w:eastAsia="Times New Roman"/>
          <w:lang w:eastAsia="en-GB"/>
        </w:rPr>
        <w:t>,</w:t>
      </w:r>
      <w:r>
        <w:rPr>
          <w:rFonts w:eastAsia="Times New Roman"/>
          <w:lang w:eastAsia="en-GB"/>
        </w:rPr>
        <w:t xml:space="preserve"> proposals for EU fees remained to be finalised and that analysis </w:t>
      </w:r>
      <w:r w:rsidR="00877EBA">
        <w:rPr>
          <w:rFonts w:eastAsia="Times New Roman"/>
          <w:lang w:eastAsia="en-GB"/>
        </w:rPr>
        <w:t xml:space="preserve">would be </w:t>
      </w:r>
      <w:r>
        <w:rPr>
          <w:rFonts w:eastAsia="Times New Roman"/>
          <w:lang w:eastAsia="en-GB"/>
        </w:rPr>
        <w:t xml:space="preserve">undertaken to inform </w:t>
      </w:r>
      <w:r w:rsidRPr="00036EDD">
        <w:rPr>
          <w:rFonts w:eastAsia="Times New Roman"/>
          <w:lang w:eastAsia="en-GB"/>
        </w:rPr>
        <w:t>cohesive proposals for institutional fee levels and potential scholarships options for the 2021/22 EU market</w:t>
      </w:r>
      <w:r>
        <w:rPr>
          <w:rFonts w:eastAsia="Times New Roman"/>
          <w:lang w:eastAsia="en-GB"/>
        </w:rPr>
        <w:t>.</w:t>
      </w:r>
    </w:p>
    <w:p w14:paraId="2A770C6E" w14:textId="5E967EEF" w:rsidR="00B15B6D" w:rsidRPr="00036EDD" w:rsidRDefault="00036EDD" w:rsidP="00036EDD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6EDD">
        <w:rPr>
          <w:rFonts w:eastAsia="Times New Roman"/>
          <w:lang w:eastAsia="en-GB"/>
        </w:rPr>
        <w:t xml:space="preserve">Court </w:t>
      </w:r>
      <w:r w:rsidRPr="00036EDD">
        <w:rPr>
          <w:rFonts w:eastAsia="Times New Roman"/>
          <w:b/>
          <w:bCs/>
          <w:lang w:eastAsia="en-GB"/>
        </w:rPr>
        <w:t>award</w:t>
      </w:r>
      <w:r>
        <w:rPr>
          <w:rFonts w:eastAsia="Times New Roman"/>
          <w:b/>
          <w:bCs/>
          <w:lang w:eastAsia="en-GB"/>
        </w:rPr>
        <w:t>ed</w:t>
      </w:r>
      <w:r w:rsidRPr="00036EDD">
        <w:rPr>
          <w:rFonts w:eastAsia="Times New Roman"/>
          <w:b/>
          <w:bCs/>
          <w:lang w:eastAsia="en-GB"/>
        </w:rPr>
        <w:t xml:space="preserve"> delegated authority </w:t>
      </w:r>
      <w:r w:rsidRPr="00036EDD">
        <w:rPr>
          <w:rFonts w:eastAsia="Times New Roman"/>
          <w:lang w:eastAsia="en-GB"/>
        </w:rPr>
        <w:t xml:space="preserve">to USPG to approve fee levels for EU entrants for 2021/22. </w:t>
      </w:r>
    </w:p>
    <w:p w14:paraId="610C7186" w14:textId="6B1F413C" w:rsidR="00B15B6D" w:rsidRPr="00B15B6D" w:rsidRDefault="00B15B6D" w:rsidP="00840015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Cs/>
        </w:rPr>
      </w:pPr>
      <w:r w:rsidRPr="00B15B6D">
        <w:rPr>
          <w:rFonts w:asciiTheme="minorHAnsi" w:hAnsiTheme="minorHAnsi" w:cs="Calibri"/>
          <w:b/>
          <w:iCs/>
        </w:rPr>
        <w:t>10.        CITY REGION DEAL UPDATE</w:t>
      </w:r>
      <w:r w:rsidRPr="00B15B6D">
        <w:rPr>
          <w:rFonts w:asciiTheme="minorHAnsi" w:hAnsiTheme="minorHAnsi" w:cs="Calibri"/>
          <w:b/>
          <w:iCs/>
        </w:rPr>
        <w:tab/>
      </w:r>
      <w:proofErr w:type="gramStart"/>
      <w:r w:rsidRPr="00B15B6D">
        <w:rPr>
          <w:rFonts w:asciiTheme="minorHAnsi" w:hAnsiTheme="minorHAnsi" w:cs="Calibri"/>
          <w:b/>
          <w:iCs/>
        </w:rPr>
        <w:t>UC(</w:t>
      </w:r>
      <w:proofErr w:type="gramEnd"/>
      <w:r w:rsidRPr="00B15B6D">
        <w:rPr>
          <w:rFonts w:asciiTheme="minorHAnsi" w:hAnsiTheme="minorHAnsi" w:cs="Calibri"/>
          <w:b/>
          <w:iCs/>
        </w:rPr>
        <w:t>20/21) 7</w:t>
      </w:r>
    </w:p>
    <w:p w14:paraId="03AC190A" w14:textId="1BF2E341" w:rsidR="008D26D8" w:rsidRPr="008D26D8" w:rsidRDefault="00CC71D0" w:rsidP="00CC71D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C71D0">
        <w:rPr>
          <w:rFonts w:eastAsia="Times New Roman"/>
          <w:lang w:eastAsia="en-GB"/>
        </w:rPr>
        <w:t xml:space="preserve">Court received </w:t>
      </w:r>
      <w:r w:rsidR="008D26D8" w:rsidRPr="008D26D8">
        <w:rPr>
          <w:rFonts w:eastAsia="Times New Roman"/>
          <w:lang w:eastAsia="en-GB"/>
        </w:rPr>
        <w:t xml:space="preserve">recommendations on moving forward the University-led projects within the innovation workstream of the City Deal project, namely Scotland’s International Environment centre (SIEC) and the National Aquaculture Technology and Innovation Hub (NATIH). </w:t>
      </w:r>
    </w:p>
    <w:p w14:paraId="41BE8BC5" w14:textId="03A48662" w:rsidR="00CC71D0" w:rsidRPr="00CC71D0" w:rsidRDefault="00CC71D0" w:rsidP="00CC71D0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en-GB"/>
        </w:rPr>
      </w:pPr>
      <w:r w:rsidRPr="00CC71D0">
        <w:rPr>
          <w:rFonts w:eastAsia="Times New Roman"/>
          <w:lang w:eastAsia="en-GB"/>
        </w:rPr>
        <w:t xml:space="preserve">Members discussed the </w:t>
      </w:r>
      <w:r w:rsidR="008D26D8" w:rsidRPr="008D26D8">
        <w:rPr>
          <w:rFonts w:eastAsia="Times New Roman"/>
          <w:lang w:eastAsia="en-GB"/>
        </w:rPr>
        <w:t xml:space="preserve">strategic importance in delivering the innovation workstream </w:t>
      </w:r>
      <w:r w:rsidRPr="00CC71D0">
        <w:rPr>
          <w:rFonts w:eastAsia="Times New Roman"/>
          <w:lang w:eastAsia="en-GB"/>
        </w:rPr>
        <w:t xml:space="preserve">and the </w:t>
      </w:r>
      <w:r w:rsidR="008D26D8" w:rsidRPr="008D26D8">
        <w:rPr>
          <w:rFonts w:eastAsia="Times New Roman"/>
          <w:lang w:eastAsia="en-GB"/>
        </w:rPr>
        <w:t>benefits of the City Deal project</w:t>
      </w:r>
      <w:r>
        <w:rPr>
          <w:rFonts w:eastAsia="Times New Roman"/>
          <w:lang w:eastAsia="en-GB"/>
        </w:rPr>
        <w:t>,</w:t>
      </w:r>
      <w:r w:rsidRPr="00CC71D0">
        <w:rPr>
          <w:rFonts w:eastAsia="Times New Roman"/>
          <w:lang w:eastAsia="en-GB"/>
        </w:rPr>
        <w:t xml:space="preserve"> and the </w:t>
      </w:r>
      <w:r w:rsidR="008D26D8" w:rsidRPr="008D26D8">
        <w:rPr>
          <w:rFonts w:eastAsia="Times New Roman"/>
          <w:lang w:eastAsia="en-GB"/>
        </w:rPr>
        <w:t>revised programme for the delivery.</w:t>
      </w:r>
    </w:p>
    <w:p w14:paraId="21CA8BC0" w14:textId="1EECF5F5" w:rsidR="008D26D8" w:rsidRPr="008D26D8" w:rsidRDefault="008D26D8" w:rsidP="00CC71D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D26D8">
        <w:rPr>
          <w:rFonts w:eastAsia="Times New Roman"/>
          <w:lang w:eastAsia="en-GB"/>
        </w:rPr>
        <w:t xml:space="preserve">Court </w:t>
      </w:r>
      <w:r w:rsidRPr="008D26D8">
        <w:rPr>
          <w:rFonts w:eastAsia="Times New Roman"/>
          <w:b/>
          <w:bCs/>
          <w:lang w:eastAsia="en-GB"/>
        </w:rPr>
        <w:t>note</w:t>
      </w:r>
      <w:r w:rsidR="00CC71D0" w:rsidRPr="00CC71D0">
        <w:rPr>
          <w:rFonts w:eastAsia="Times New Roman"/>
          <w:b/>
          <w:bCs/>
          <w:lang w:eastAsia="en-GB"/>
        </w:rPr>
        <w:t>d</w:t>
      </w:r>
      <w:r w:rsidRPr="008D26D8">
        <w:rPr>
          <w:rFonts w:eastAsia="Times New Roman"/>
          <w:b/>
          <w:bCs/>
          <w:lang w:eastAsia="en-GB"/>
        </w:rPr>
        <w:t xml:space="preserve"> </w:t>
      </w:r>
      <w:r w:rsidRPr="008D26D8">
        <w:rPr>
          <w:rFonts w:eastAsia="Times New Roman"/>
          <w:lang w:eastAsia="en-GB"/>
        </w:rPr>
        <w:t xml:space="preserve">the report and </w:t>
      </w:r>
      <w:r w:rsidRPr="008D26D8">
        <w:rPr>
          <w:rFonts w:eastAsia="Times New Roman"/>
          <w:b/>
          <w:bCs/>
          <w:lang w:eastAsia="en-GB"/>
        </w:rPr>
        <w:t>approve</w:t>
      </w:r>
      <w:r w:rsidR="00CC71D0" w:rsidRPr="00CC71D0">
        <w:rPr>
          <w:rFonts w:eastAsia="Times New Roman"/>
          <w:b/>
          <w:bCs/>
          <w:lang w:eastAsia="en-GB"/>
        </w:rPr>
        <w:t>d</w:t>
      </w:r>
      <w:r w:rsidRPr="008D26D8">
        <w:rPr>
          <w:rFonts w:eastAsia="Times New Roman"/>
          <w:b/>
          <w:bCs/>
          <w:lang w:eastAsia="en-GB"/>
        </w:rPr>
        <w:t xml:space="preserve"> </w:t>
      </w:r>
      <w:r w:rsidRPr="008D26D8">
        <w:rPr>
          <w:rFonts w:eastAsia="Times New Roman"/>
          <w:lang w:eastAsia="en-GB"/>
        </w:rPr>
        <w:t xml:space="preserve">the revised Financial Profile for the University-led projects. </w:t>
      </w:r>
    </w:p>
    <w:p w14:paraId="6BF8F36B" w14:textId="291690D0" w:rsidR="00840015" w:rsidRPr="00B15B6D" w:rsidRDefault="00577DB2" w:rsidP="00840015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B15B6D">
        <w:rPr>
          <w:rFonts w:asciiTheme="minorHAnsi" w:hAnsiTheme="minorHAnsi" w:cs="Calibri"/>
          <w:b/>
          <w:i/>
        </w:rPr>
        <w:t>ACTIVITY UPDATES</w:t>
      </w:r>
    </w:p>
    <w:p w14:paraId="489F4F79" w14:textId="77777777" w:rsidR="00840015" w:rsidRPr="005C4224" w:rsidRDefault="00840015" w:rsidP="00840015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cstheme="minorHAnsi"/>
          <w:highlight w:val="yellow"/>
        </w:rPr>
      </w:pPr>
      <w:r w:rsidRPr="005C4224">
        <w:rPr>
          <w:rFonts w:asciiTheme="minorHAnsi" w:hAnsiTheme="minorHAnsi" w:cs="Calibri"/>
          <w:b/>
          <w:highlight w:val="yellow"/>
        </w:rPr>
        <w:t xml:space="preserve">  </w:t>
      </w:r>
    </w:p>
    <w:p w14:paraId="22B8BBB0" w14:textId="241E9C34" w:rsidR="00840015" w:rsidRPr="00B15B6D" w:rsidRDefault="00B15B6D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15B6D">
        <w:rPr>
          <w:rFonts w:asciiTheme="minorHAnsi" w:hAnsiTheme="minorHAnsi" w:cs="Calibri"/>
          <w:b/>
        </w:rPr>
        <w:t>11</w:t>
      </w:r>
      <w:r w:rsidR="00840015" w:rsidRPr="00B15B6D">
        <w:rPr>
          <w:rFonts w:asciiTheme="minorHAnsi" w:hAnsiTheme="minorHAnsi" w:cs="Calibri"/>
          <w:b/>
        </w:rPr>
        <w:t>.</w:t>
      </w:r>
      <w:r w:rsidR="00840015" w:rsidRPr="00B15B6D">
        <w:rPr>
          <w:rFonts w:asciiTheme="minorHAnsi" w:hAnsiTheme="minorHAnsi" w:cs="Calibri"/>
          <w:b/>
        </w:rPr>
        <w:tab/>
      </w:r>
      <w:r w:rsidR="00577DB2" w:rsidRPr="00B15B6D">
        <w:rPr>
          <w:rFonts w:asciiTheme="minorHAnsi" w:hAnsiTheme="minorHAnsi" w:cs="Calibri"/>
          <w:b/>
        </w:rPr>
        <w:t>STUDENTS’ UNION UPDATE</w:t>
      </w:r>
      <w:r w:rsidR="00577DB2" w:rsidRPr="00B15B6D">
        <w:rPr>
          <w:rFonts w:asciiTheme="minorHAnsi" w:hAnsiTheme="minorHAnsi" w:cs="Calibri"/>
          <w:b/>
        </w:rPr>
        <w:tab/>
      </w:r>
      <w:proofErr w:type="gramStart"/>
      <w:r w:rsidRPr="00B15B6D">
        <w:rPr>
          <w:rFonts w:asciiTheme="minorHAnsi" w:hAnsiTheme="minorHAnsi" w:cs="Calibri"/>
          <w:b/>
        </w:rPr>
        <w:t>UC(</w:t>
      </w:r>
      <w:proofErr w:type="gramEnd"/>
      <w:r w:rsidRPr="00B15B6D">
        <w:rPr>
          <w:rFonts w:asciiTheme="minorHAnsi" w:hAnsiTheme="minorHAnsi" w:cs="Calibri"/>
          <w:b/>
        </w:rPr>
        <w:t>20/21) 8</w:t>
      </w:r>
    </w:p>
    <w:p w14:paraId="2405038A" w14:textId="77777777" w:rsidR="0061417E" w:rsidRPr="005C4224" w:rsidRDefault="0061417E" w:rsidP="004E3F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highlight w:val="yellow"/>
        </w:rPr>
      </w:pPr>
    </w:p>
    <w:p w14:paraId="6F658C3D" w14:textId="329E086A" w:rsidR="004E3FCB" w:rsidRPr="00B15B6D" w:rsidRDefault="00B24538" w:rsidP="004E3F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strike/>
          <w:highlight w:val="yellow"/>
        </w:rPr>
      </w:pPr>
      <w:r w:rsidRPr="00CC71D0">
        <w:rPr>
          <w:rFonts w:asciiTheme="minorHAnsi" w:hAnsiTheme="minorHAnsi" w:cs="Calibri"/>
        </w:rPr>
        <w:t xml:space="preserve">Members </w:t>
      </w:r>
      <w:r w:rsidR="004E3FCB" w:rsidRPr="00CC71D0">
        <w:rPr>
          <w:rFonts w:asciiTheme="minorHAnsi" w:hAnsiTheme="minorHAnsi" w:cs="Calibri"/>
        </w:rPr>
        <w:t>receive</w:t>
      </w:r>
      <w:r w:rsidRPr="00CC71D0">
        <w:rPr>
          <w:rFonts w:asciiTheme="minorHAnsi" w:hAnsiTheme="minorHAnsi" w:cs="Calibri"/>
        </w:rPr>
        <w:t>d</w:t>
      </w:r>
      <w:r w:rsidR="004E3FCB" w:rsidRPr="00CC71D0">
        <w:rPr>
          <w:rFonts w:asciiTheme="minorHAnsi" w:hAnsiTheme="minorHAnsi" w:cs="Calibri"/>
        </w:rPr>
        <w:t xml:space="preserve"> an update on activity from the Students’ Union</w:t>
      </w:r>
      <w:r w:rsidR="007C75D4">
        <w:rPr>
          <w:rFonts w:asciiTheme="minorHAnsi" w:hAnsiTheme="minorHAnsi" w:cs="Calibri"/>
        </w:rPr>
        <w:t xml:space="preserve"> including preparations for the new semester to support students learning and overall experience</w:t>
      </w:r>
      <w:r w:rsidR="002E3A77">
        <w:rPr>
          <w:rFonts w:asciiTheme="minorHAnsi" w:hAnsiTheme="minorHAnsi" w:cs="Calibri"/>
        </w:rPr>
        <w:t xml:space="preserve">, and training for sports union clubs on responsibilities for upholding health and safety rules and government guidance. </w:t>
      </w:r>
    </w:p>
    <w:p w14:paraId="25C1E876" w14:textId="77777777" w:rsidR="00840015" w:rsidRPr="002E3A77" w:rsidRDefault="00840015" w:rsidP="00840015">
      <w:pPr>
        <w:tabs>
          <w:tab w:val="left" w:pos="709"/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</w:p>
    <w:p w14:paraId="1AFFCAB7" w14:textId="77777777" w:rsidR="00577DB2" w:rsidRPr="002E3A77" w:rsidRDefault="0061417E" w:rsidP="00B24538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2E3A77">
        <w:rPr>
          <w:rFonts w:cs="Calibri"/>
        </w:rPr>
        <w:t xml:space="preserve">Court </w:t>
      </w:r>
      <w:r w:rsidRPr="002E3A77">
        <w:rPr>
          <w:rFonts w:cs="Calibri"/>
          <w:b/>
        </w:rPr>
        <w:t>noted</w:t>
      </w:r>
      <w:r w:rsidRPr="002E3A77">
        <w:rPr>
          <w:rFonts w:cs="Calibri"/>
        </w:rPr>
        <w:t xml:space="preserve"> the update on activity from the Students</w:t>
      </w:r>
      <w:r w:rsidR="00F4234D" w:rsidRPr="002E3A77">
        <w:rPr>
          <w:rFonts w:cs="Calibri"/>
        </w:rPr>
        <w:t>’</w:t>
      </w:r>
      <w:r w:rsidRPr="002E3A77">
        <w:rPr>
          <w:rFonts w:cs="Calibri"/>
        </w:rPr>
        <w:t xml:space="preserve"> Union</w:t>
      </w:r>
      <w:r w:rsidR="00B24538" w:rsidRPr="002E3A77">
        <w:rPr>
          <w:rFonts w:cs="Calibri"/>
        </w:rPr>
        <w:t>.</w:t>
      </w:r>
      <w:r w:rsidRPr="002E3A77">
        <w:rPr>
          <w:rFonts w:cs="Calibri"/>
        </w:rPr>
        <w:t xml:space="preserve"> </w:t>
      </w:r>
    </w:p>
    <w:p w14:paraId="62108BC5" w14:textId="77777777" w:rsidR="00577DB2" w:rsidRPr="00B15B6D" w:rsidRDefault="00577DB2" w:rsidP="00577DB2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FCEF4BC" w14:textId="68440D2B" w:rsidR="00577DB2" w:rsidRPr="00B15B6D" w:rsidRDefault="00B15B6D" w:rsidP="00577DB2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15B6D">
        <w:rPr>
          <w:rFonts w:asciiTheme="minorHAnsi" w:hAnsiTheme="minorHAnsi" w:cs="Calibri"/>
          <w:b/>
        </w:rPr>
        <w:t>12</w:t>
      </w:r>
      <w:r w:rsidR="00577DB2" w:rsidRPr="00B15B6D">
        <w:rPr>
          <w:rFonts w:asciiTheme="minorHAnsi" w:hAnsiTheme="minorHAnsi" w:cs="Calibri"/>
          <w:b/>
        </w:rPr>
        <w:t>.</w:t>
      </w:r>
      <w:r w:rsidR="00577DB2" w:rsidRPr="00B15B6D">
        <w:rPr>
          <w:rFonts w:asciiTheme="minorHAnsi" w:hAnsiTheme="minorHAnsi" w:cs="Calibri"/>
          <w:b/>
        </w:rPr>
        <w:tab/>
        <w:t>STAFF AND EMPLOYMENT UPDATE</w:t>
      </w:r>
      <w:r w:rsidR="00577DB2" w:rsidRPr="00B15B6D">
        <w:rPr>
          <w:rFonts w:asciiTheme="minorHAnsi" w:hAnsiTheme="minorHAnsi" w:cs="Calibri"/>
          <w:b/>
        </w:rPr>
        <w:tab/>
      </w:r>
      <w:proofErr w:type="gramStart"/>
      <w:r w:rsidR="00577DB2" w:rsidRPr="00B15B6D">
        <w:rPr>
          <w:rFonts w:asciiTheme="minorHAnsi" w:hAnsiTheme="minorHAnsi" w:cs="Calibri"/>
          <w:b/>
        </w:rPr>
        <w:t>UC(</w:t>
      </w:r>
      <w:proofErr w:type="gramEnd"/>
      <w:r w:rsidRPr="00B15B6D">
        <w:rPr>
          <w:rFonts w:asciiTheme="minorHAnsi" w:hAnsiTheme="minorHAnsi" w:cs="Calibri"/>
          <w:b/>
        </w:rPr>
        <w:t>20</w:t>
      </w:r>
      <w:r w:rsidR="00577DB2" w:rsidRPr="00B15B6D">
        <w:rPr>
          <w:rFonts w:asciiTheme="minorHAnsi" w:hAnsiTheme="minorHAnsi" w:cs="Calibri"/>
          <w:b/>
        </w:rPr>
        <w:t>/2</w:t>
      </w:r>
      <w:r w:rsidRPr="00B15B6D">
        <w:rPr>
          <w:rFonts w:asciiTheme="minorHAnsi" w:hAnsiTheme="minorHAnsi" w:cs="Calibri"/>
          <w:b/>
        </w:rPr>
        <w:t>1</w:t>
      </w:r>
      <w:r w:rsidR="00577DB2" w:rsidRPr="00B15B6D">
        <w:rPr>
          <w:rFonts w:asciiTheme="minorHAnsi" w:hAnsiTheme="minorHAnsi" w:cs="Calibri"/>
          <w:b/>
        </w:rPr>
        <w:t xml:space="preserve">) </w:t>
      </w:r>
      <w:r w:rsidRPr="00B15B6D">
        <w:rPr>
          <w:rFonts w:asciiTheme="minorHAnsi" w:hAnsiTheme="minorHAnsi" w:cs="Calibri"/>
          <w:b/>
        </w:rPr>
        <w:t>9</w:t>
      </w:r>
    </w:p>
    <w:p w14:paraId="318FA6EA" w14:textId="77777777" w:rsidR="0061417E" w:rsidRPr="005C4224" w:rsidRDefault="0061417E" w:rsidP="004E3F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highlight w:val="yellow"/>
        </w:rPr>
      </w:pPr>
    </w:p>
    <w:p w14:paraId="6F0337F2" w14:textId="0669003A" w:rsidR="004E3FCB" w:rsidRPr="005C4224" w:rsidRDefault="00C17253" w:rsidP="004E3F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highlight w:val="yellow"/>
        </w:rPr>
      </w:pPr>
      <w:r w:rsidRPr="00CC71D0">
        <w:rPr>
          <w:rFonts w:asciiTheme="minorHAnsi" w:hAnsiTheme="minorHAnsi" w:cs="Calibri"/>
        </w:rPr>
        <w:t xml:space="preserve">Members </w:t>
      </w:r>
      <w:r w:rsidR="004E3FCB" w:rsidRPr="00CC71D0">
        <w:rPr>
          <w:rFonts w:asciiTheme="minorHAnsi" w:hAnsiTheme="minorHAnsi" w:cs="Calibri"/>
        </w:rPr>
        <w:t>receive</w:t>
      </w:r>
      <w:r w:rsidRPr="00CC71D0">
        <w:rPr>
          <w:rFonts w:asciiTheme="minorHAnsi" w:hAnsiTheme="minorHAnsi" w:cs="Calibri"/>
        </w:rPr>
        <w:t>d</w:t>
      </w:r>
      <w:r w:rsidR="004E3FCB" w:rsidRPr="00CC71D0">
        <w:rPr>
          <w:rFonts w:asciiTheme="minorHAnsi" w:hAnsiTheme="minorHAnsi" w:cs="Calibri"/>
        </w:rPr>
        <w:t xml:space="preserve"> an update on staff and employment matters</w:t>
      </w:r>
      <w:r w:rsidR="006632E3" w:rsidRPr="00CC71D0">
        <w:rPr>
          <w:rFonts w:asciiTheme="minorHAnsi" w:hAnsiTheme="minorHAnsi" w:cs="Calibri"/>
        </w:rPr>
        <w:t xml:space="preserve"> and </w:t>
      </w:r>
      <w:r w:rsidR="0018106B" w:rsidRPr="00CC71D0">
        <w:rPr>
          <w:rFonts w:asciiTheme="minorHAnsi" w:hAnsiTheme="minorHAnsi" w:cs="Calibri"/>
        </w:rPr>
        <w:t xml:space="preserve">noted </w:t>
      </w:r>
      <w:r w:rsidR="006632E3" w:rsidRPr="00CC71D0">
        <w:rPr>
          <w:rFonts w:asciiTheme="minorHAnsi" w:hAnsiTheme="minorHAnsi" w:cs="Calibri"/>
        </w:rPr>
        <w:t>in particular</w:t>
      </w:r>
      <w:r w:rsidR="001E635E">
        <w:rPr>
          <w:rFonts w:asciiTheme="minorHAnsi" w:hAnsiTheme="minorHAnsi" w:cs="Calibri"/>
        </w:rPr>
        <w:t xml:space="preserve"> the financial assistance available via the </w:t>
      </w:r>
      <w:r w:rsidR="006632E3" w:rsidRPr="001E635E">
        <w:rPr>
          <w:rFonts w:asciiTheme="minorHAnsi" w:hAnsiTheme="minorHAnsi" w:cs="Calibri"/>
        </w:rPr>
        <w:t>Coronavirus Job Retention Scheme</w:t>
      </w:r>
      <w:r w:rsidR="00F4234D" w:rsidRPr="001E635E">
        <w:rPr>
          <w:rFonts w:asciiTheme="minorHAnsi" w:hAnsiTheme="minorHAnsi" w:cs="Calibri"/>
        </w:rPr>
        <w:t>,</w:t>
      </w:r>
      <w:r w:rsidR="001E635E">
        <w:rPr>
          <w:rFonts w:asciiTheme="minorHAnsi" w:hAnsiTheme="minorHAnsi" w:cs="Calibri"/>
        </w:rPr>
        <w:t xml:space="preserve"> the 2020/21 pay negotiations with trade unions, and the University’s Employee Assist Programme in place to ensure provision of counselling and wellbeing support to staff and their immediate families. </w:t>
      </w:r>
      <w:r w:rsidR="0018106B" w:rsidRPr="005C4224">
        <w:rPr>
          <w:rFonts w:asciiTheme="minorHAnsi" w:hAnsiTheme="minorHAnsi" w:cs="Calibri"/>
          <w:highlight w:val="yellow"/>
        </w:rPr>
        <w:t xml:space="preserve"> </w:t>
      </w:r>
      <w:r w:rsidR="004E3FCB" w:rsidRPr="005C4224">
        <w:rPr>
          <w:rFonts w:asciiTheme="minorHAnsi" w:hAnsiTheme="minorHAnsi" w:cs="Calibri"/>
          <w:highlight w:val="yellow"/>
        </w:rPr>
        <w:t xml:space="preserve"> </w:t>
      </w:r>
      <w:r w:rsidR="004E3FCB" w:rsidRPr="005C4224">
        <w:rPr>
          <w:rFonts w:cs="Calibri"/>
          <w:highlight w:val="yellow"/>
        </w:rPr>
        <w:t xml:space="preserve"> </w:t>
      </w:r>
      <w:r w:rsidR="004E3FCB" w:rsidRPr="005C4224">
        <w:rPr>
          <w:rFonts w:asciiTheme="minorHAnsi" w:hAnsiTheme="minorHAnsi" w:cs="Calibri"/>
          <w:b/>
          <w:highlight w:val="yellow"/>
        </w:rPr>
        <w:t xml:space="preserve"> </w:t>
      </w:r>
    </w:p>
    <w:p w14:paraId="6986300E" w14:textId="77777777" w:rsidR="0061417E" w:rsidRPr="005C4224" w:rsidRDefault="0061417E" w:rsidP="00577DB2">
      <w:pPr>
        <w:tabs>
          <w:tab w:val="left" w:pos="709"/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  <w:highlight w:val="yellow"/>
        </w:rPr>
      </w:pPr>
    </w:p>
    <w:p w14:paraId="5BEE6DB7" w14:textId="3E054B82" w:rsidR="00577DB2" w:rsidRPr="00B15B6D" w:rsidRDefault="0061417E" w:rsidP="00577DB2">
      <w:pPr>
        <w:tabs>
          <w:tab w:val="left" w:pos="709"/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B15B6D">
        <w:rPr>
          <w:rFonts w:cs="Calibri"/>
        </w:rPr>
        <w:t xml:space="preserve">Court </w:t>
      </w:r>
      <w:r w:rsidR="001E635E">
        <w:rPr>
          <w:rFonts w:cs="Calibri"/>
        </w:rPr>
        <w:t xml:space="preserve">discussed the safety measures in place for staff returning to work on campus and </w:t>
      </w:r>
      <w:r w:rsidRPr="00B15B6D">
        <w:rPr>
          <w:rFonts w:cs="Calibri"/>
          <w:b/>
        </w:rPr>
        <w:t>noted</w:t>
      </w:r>
      <w:r w:rsidRPr="00B15B6D">
        <w:rPr>
          <w:rFonts w:cs="Calibri"/>
        </w:rPr>
        <w:t xml:space="preserve"> the update on staff and employment matters. </w:t>
      </w:r>
    </w:p>
    <w:p w14:paraId="7A77C235" w14:textId="4D03F76A" w:rsidR="00577DB2" w:rsidRDefault="00577DB2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2C378DFA" w14:textId="6A4E7BF2" w:rsidR="00877EBA" w:rsidRDefault="00877EBA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FF5E1BB" w14:textId="77777777" w:rsidR="00877EBA" w:rsidRPr="00B15B6D" w:rsidRDefault="00877EBA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3F2AA03" w14:textId="77777777" w:rsidR="00B15B6D" w:rsidRPr="00B23B53" w:rsidRDefault="00B15B6D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B23B53">
        <w:rPr>
          <w:rFonts w:asciiTheme="minorHAnsi" w:hAnsiTheme="minorHAnsi" w:cs="Calibri"/>
          <w:b/>
          <w:i/>
        </w:rPr>
        <w:lastRenderedPageBreak/>
        <w:t>OTHER ITEMS</w:t>
      </w:r>
    </w:p>
    <w:p w14:paraId="75109040" w14:textId="77777777" w:rsidR="00B15B6D" w:rsidRPr="00B23B53" w:rsidRDefault="00B15B6D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</w:p>
    <w:p w14:paraId="5D84A78C" w14:textId="146EDCDF" w:rsidR="00B15B6D" w:rsidRPr="00B23B53" w:rsidRDefault="00B15B6D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Cs/>
        </w:rPr>
      </w:pPr>
      <w:r w:rsidRPr="00B23B53">
        <w:rPr>
          <w:rFonts w:asciiTheme="minorHAnsi" w:hAnsiTheme="minorHAnsi" w:cs="Calibri"/>
          <w:b/>
          <w:iCs/>
        </w:rPr>
        <w:t xml:space="preserve">13.     </w:t>
      </w:r>
      <w:r w:rsidR="000E330A">
        <w:rPr>
          <w:rFonts w:asciiTheme="minorHAnsi" w:hAnsiTheme="minorHAnsi" w:cs="Calibri"/>
          <w:b/>
          <w:iCs/>
        </w:rPr>
        <w:t xml:space="preserve"> </w:t>
      </w:r>
      <w:r w:rsidRPr="00B23B53">
        <w:rPr>
          <w:rFonts w:asciiTheme="minorHAnsi" w:hAnsiTheme="minorHAnsi" w:cs="Calibri"/>
          <w:b/>
          <w:iCs/>
        </w:rPr>
        <w:t>COURT STRATEGY DAY</w:t>
      </w:r>
      <w:r w:rsidR="00B23B53" w:rsidRPr="00B23B53">
        <w:rPr>
          <w:rFonts w:asciiTheme="minorHAnsi" w:hAnsiTheme="minorHAnsi" w:cs="Calibri"/>
          <w:b/>
          <w:iCs/>
        </w:rPr>
        <w:tab/>
        <w:t>Oral</w:t>
      </w:r>
    </w:p>
    <w:p w14:paraId="46EF373E" w14:textId="77777777" w:rsidR="000E330A" w:rsidRDefault="00B23B53" w:rsidP="00B23B53">
      <w:pPr>
        <w:tabs>
          <w:tab w:val="right" w:pos="9026"/>
        </w:tabs>
        <w:spacing w:after="0" w:line="240" w:lineRule="auto"/>
        <w:ind w:left="567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0EED2E45" w14:textId="2F223996" w:rsidR="004A04B1" w:rsidRDefault="000E330A" w:rsidP="004A04B1">
      <w:pPr>
        <w:tabs>
          <w:tab w:val="right" w:pos="9026"/>
        </w:tabs>
        <w:spacing w:after="0" w:line="240" w:lineRule="auto"/>
        <w:ind w:left="567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Members </w:t>
      </w:r>
      <w:r w:rsidRPr="004A04B1">
        <w:rPr>
          <w:rFonts w:asciiTheme="minorHAnsi" w:hAnsiTheme="minorHAnsi" w:cs="Calibri"/>
          <w:b/>
          <w:bCs/>
        </w:rPr>
        <w:t>discussed</w:t>
      </w:r>
      <w:r>
        <w:rPr>
          <w:rFonts w:asciiTheme="minorHAnsi" w:hAnsiTheme="minorHAnsi" w:cs="Calibri"/>
        </w:rPr>
        <w:t xml:space="preserve"> proposals on the </w:t>
      </w:r>
      <w:r w:rsidR="004A04B1">
        <w:rPr>
          <w:rFonts w:asciiTheme="minorHAnsi" w:hAnsiTheme="minorHAnsi" w:cs="Calibri"/>
        </w:rPr>
        <w:t>d</w:t>
      </w:r>
      <w:r>
        <w:rPr>
          <w:rFonts w:asciiTheme="minorHAnsi" w:hAnsiTheme="minorHAnsi" w:cs="Calibri"/>
        </w:rPr>
        <w:t>evelop</w:t>
      </w:r>
      <w:r w:rsidR="004A04B1">
        <w:rPr>
          <w:rFonts w:asciiTheme="minorHAnsi" w:hAnsiTheme="minorHAnsi" w:cs="Calibri"/>
        </w:rPr>
        <w:t xml:space="preserve">ment of </w:t>
      </w:r>
      <w:r w:rsidR="00877EBA">
        <w:rPr>
          <w:rFonts w:asciiTheme="minorHAnsi" w:hAnsiTheme="minorHAnsi" w:cs="Calibri"/>
        </w:rPr>
        <w:t xml:space="preserve">the Strategic Plan as the University approached the final year of the Strategic Plan 2016 – 2021.  Members agreed </w:t>
      </w:r>
      <w:r>
        <w:rPr>
          <w:rFonts w:asciiTheme="minorHAnsi" w:hAnsiTheme="minorHAnsi" w:cs="Calibri"/>
        </w:rPr>
        <w:t xml:space="preserve">to postpone the Court Strategy </w:t>
      </w:r>
      <w:r w:rsidR="00877EBA">
        <w:rPr>
          <w:rFonts w:asciiTheme="minorHAnsi" w:hAnsiTheme="minorHAnsi" w:cs="Calibri"/>
        </w:rPr>
        <w:t>Day and</w:t>
      </w:r>
      <w:r>
        <w:rPr>
          <w:rFonts w:asciiTheme="minorHAnsi" w:hAnsiTheme="minorHAnsi" w:cs="Calibri"/>
        </w:rPr>
        <w:t xml:space="preserve"> </w:t>
      </w:r>
      <w:r w:rsidR="004A04B1">
        <w:rPr>
          <w:rFonts w:asciiTheme="minorHAnsi" w:hAnsiTheme="minorHAnsi" w:cs="Calibri"/>
        </w:rPr>
        <w:t xml:space="preserve">requested </w:t>
      </w:r>
      <w:r>
        <w:rPr>
          <w:rFonts w:asciiTheme="minorHAnsi" w:hAnsiTheme="minorHAnsi" w:cs="Calibri"/>
        </w:rPr>
        <w:t xml:space="preserve">the Executive Team </w:t>
      </w:r>
      <w:r w:rsidR="004A04B1">
        <w:rPr>
          <w:rFonts w:asciiTheme="minorHAnsi" w:hAnsiTheme="minorHAnsi" w:cs="Calibri"/>
        </w:rPr>
        <w:t xml:space="preserve">outline an approach to </w:t>
      </w:r>
      <w:r w:rsidR="00877EBA">
        <w:rPr>
          <w:rFonts w:asciiTheme="minorHAnsi" w:hAnsiTheme="minorHAnsi" w:cs="Calibri"/>
        </w:rPr>
        <w:t xml:space="preserve">develop an ‘interim’ Strategic Plan to cover </w:t>
      </w:r>
      <w:r w:rsidR="004A04B1">
        <w:rPr>
          <w:rFonts w:asciiTheme="minorHAnsi" w:hAnsiTheme="minorHAnsi" w:cs="Calibri"/>
        </w:rPr>
        <w:t xml:space="preserve">a period of 24 months </w:t>
      </w:r>
      <w:r w:rsidR="00877EBA">
        <w:rPr>
          <w:rFonts w:asciiTheme="minorHAnsi" w:hAnsiTheme="minorHAnsi" w:cs="Calibri"/>
        </w:rPr>
        <w:t xml:space="preserve">from 2021 – 2023. </w:t>
      </w:r>
    </w:p>
    <w:p w14:paraId="041281C5" w14:textId="4464A4B9" w:rsidR="00B23B53" w:rsidRPr="00B23B53" w:rsidRDefault="004A04B1" w:rsidP="00415C74">
      <w:pPr>
        <w:tabs>
          <w:tab w:val="right" w:pos="9026"/>
        </w:tabs>
        <w:spacing w:after="0" w:line="240" w:lineRule="auto"/>
        <w:ind w:left="567"/>
        <w:contextualSpacing/>
        <w:jc w:val="right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</w:rPr>
        <w:tab/>
      </w:r>
      <w:r w:rsidRPr="004A04B1">
        <w:rPr>
          <w:rFonts w:asciiTheme="minorHAnsi" w:hAnsiTheme="minorHAnsi" w:cs="Calibri"/>
          <w:b/>
          <w:bCs/>
        </w:rPr>
        <w:t>[Action: University Secretary</w:t>
      </w:r>
      <w:r w:rsidR="00415C74" w:rsidRPr="00415C74">
        <w:rPr>
          <w:rFonts w:asciiTheme="minorHAnsi" w:hAnsiTheme="minorHAnsi" w:cs="Calibri"/>
          <w:b/>
          <w:bCs/>
          <w:iCs/>
        </w:rPr>
        <w:t>]</w:t>
      </w:r>
      <w:r w:rsidRPr="004A04B1">
        <w:rPr>
          <w:rFonts w:asciiTheme="minorHAnsi" w:hAnsiTheme="minorHAnsi" w:cs="Calibri"/>
          <w:b/>
          <w:bCs/>
          <w:i/>
        </w:rPr>
        <w:t xml:space="preserve"> </w:t>
      </w:r>
      <w:r>
        <w:rPr>
          <w:rFonts w:asciiTheme="minorHAnsi" w:hAnsiTheme="minorHAnsi" w:cs="Calibri"/>
          <w:b/>
          <w:i/>
        </w:rPr>
        <w:tab/>
      </w:r>
    </w:p>
    <w:p w14:paraId="5A0F651D" w14:textId="20677D13" w:rsidR="00B23B53" w:rsidRPr="00B23B53" w:rsidRDefault="00B23B53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Cs/>
        </w:rPr>
      </w:pPr>
      <w:r w:rsidRPr="00B23B53">
        <w:rPr>
          <w:rFonts w:asciiTheme="minorHAnsi" w:hAnsiTheme="minorHAnsi" w:cs="Calibri"/>
          <w:b/>
          <w:iCs/>
        </w:rPr>
        <w:t>14.      INSTITUTION-LED REVIEW OF QUALITY 2019/20</w:t>
      </w:r>
      <w:r w:rsidRPr="00B23B53">
        <w:rPr>
          <w:rFonts w:asciiTheme="minorHAnsi" w:hAnsiTheme="minorHAnsi" w:cs="Calibri"/>
          <w:b/>
          <w:iCs/>
        </w:rPr>
        <w:tab/>
      </w:r>
      <w:proofErr w:type="gramStart"/>
      <w:r w:rsidRPr="00B23B53">
        <w:rPr>
          <w:rFonts w:asciiTheme="minorHAnsi" w:hAnsiTheme="minorHAnsi" w:cs="Calibri"/>
          <w:b/>
          <w:iCs/>
        </w:rPr>
        <w:t>UC(</w:t>
      </w:r>
      <w:proofErr w:type="gramEnd"/>
      <w:r w:rsidRPr="00B23B53">
        <w:rPr>
          <w:rFonts w:asciiTheme="minorHAnsi" w:hAnsiTheme="minorHAnsi" w:cs="Calibri"/>
          <w:b/>
          <w:iCs/>
        </w:rPr>
        <w:t>20/21) 10</w:t>
      </w:r>
    </w:p>
    <w:p w14:paraId="6DCC5BC4" w14:textId="57EC26AE" w:rsidR="00B23B53" w:rsidRPr="00B23B53" w:rsidRDefault="00B23B53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B23B53">
        <w:rPr>
          <w:rFonts w:asciiTheme="minorHAnsi" w:hAnsiTheme="minorHAnsi" w:cs="Calibri"/>
          <w:b/>
          <w:i/>
        </w:rPr>
        <w:tab/>
      </w:r>
    </w:p>
    <w:p w14:paraId="78A5213B" w14:textId="576B26F8" w:rsidR="00B23B53" w:rsidRPr="00B23B53" w:rsidRDefault="00B23B53" w:rsidP="00B23B5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</w:t>
      </w:r>
      <w:r w:rsidRPr="00AF17C8">
        <w:rPr>
          <w:rFonts w:asciiTheme="minorHAnsi" w:hAnsiTheme="minorHAnsi" w:cs="Calibri"/>
        </w:rPr>
        <w:t xml:space="preserve">Court </w:t>
      </w:r>
      <w:r w:rsidRPr="00AF17C8">
        <w:rPr>
          <w:rFonts w:asciiTheme="minorHAnsi" w:hAnsiTheme="minorHAnsi" w:cs="Calibri"/>
          <w:b/>
          <w:bCs/>
        </w:rPr>
        <w:t>approved</w:t>
      </w:r>
      <w:r w:rsidRPr="00AF17C8">
        <w:rPr>
          <w:rFonts w:asciiTheme="minorHAnsi" w:hAnsiTheme="minorHAnsi" w:cs="Calibri"/>
        </w:rPr>
        <w:t xml:space="preserve"> the Annual Statement on quality for the Scottish Funding Council</w:t>
      </w:r>
      <w:r w:rsidR="00AF17C8" w:rsidRPr="00AF17C8">
        <w:rPr>
          <w:rFonts w:asciiTheme="minorHAnsi" w:hAnsiTheme="minorHAnsi" w:cs="Calibri"/>
        </w:rPr>
        <w:t>.</w:t>
      </w:r>
    </w:p>
    <w:p w14:paraId="0B5506A2" w14:textId="77777777" w:rsidR="00B23B53" w:rsidRPr="00B23B53" w:rsidRDefault="00B23B53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</w:p>
    <w:p w14:paraId="5F626F6D" w14:textId="1BA6EC85" w:rsidR="00840015" w:rsidRPr="00B23B53" w:rsidRDefault="007D6887" w:rsidP="00840015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B23B53">
        <w:rPr>
          <w:rFonts w:asciiTheme="minorHAnsi" w:hAnsiTheme="minorHAnsi" w:cs="Calibri"/>
          <w:b/>
          <w:i/>
        </w:rPr>
        <w:t>COMMIT</w:t>
      </w:r>
      <w:r w:rsidR="00577DB2" w:rsidRPr="00B23B53">
        <w:rPr>
          <w:rFonts w:asciiTheme="minorHAnsi" w:hAnsiTheme="minorHAnsi" w:cs="Calibri"/>
          <w:b/>
          <w:i/>
        </w:rPr>
        <w:t>EE REPORTS</w:t>
      </w:r>
    </w:p>
    <w:p w14:paraId="5E599252" w14:textId="77777777" w:rsidR="00840015" w:rsidRPr="00B23B53" w:rsidRDefault="00840015" w:rsidP="0084001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2D4F38F2" w14:textId="50275DBE" w:rsidR="007D6887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23B53">
        <w:rPr>
          <w:rFonts w:asciiTheme="minorHAnsi" w:hAnsiTheme="minorHAnsi" w:cs="Calibri"/>
          <w:b/>
        </w:rPr>
        <w:t>1</w:t>
      </w:r>
      <w:r w:rsidR="00B23B53" w:rsidRPr="00B23B53">
        <w:rPr>
          <w:rFonts w:asciiTheme="minorHAnsi" w:hAnsiTheme="minorHAnsi" w:cs="Calibri"/>
          <w:b/>
        </w:rPr>
        <w:t>5</w:t>
      </w:r>
      <w:r w:rsidR="00840015" w:rsidRPr="00B23B53">
        <w:rPr>
          <w:rFonts w:asciiTheme="minorHAnsi" w:hAnsiTheme="minorHAnsi" w:cs="Calibri"/>
          <w:b/>
        </w:rPr>
        <w:t>.</w:t>
      </w:r>
      <w:r w:rsidR="00840015" w:rsidRPr="00B23B53">
        <w:rPr>
          <w:rFonts w:asciiTheme="minorHAnsi" w:hAnsiTheme="minorHAnsi" w:cs="Calibri"/>
          <w:b/>
        </w:rPr>
        <w:tab/>
      </w:r>
      <w:r w:rsidRPr="00B23B53">
        <w:rPr>
          <w:rFonts w:asciiTheme="minorHAnsi" w:hAnsiTheme="minorHAnsi" w:cs="Calibri"/>
          <w:b/>
        </w:rPr>
        <w:t>ACADEMIC COUNCIL</w:t>
      </w:r>
      <w:r w:rsidR="004E3FCB" w:rsidRPr="00B23B53">
        <w:rPr>
          <w:rFonts w:asciiTheme="minorHAnsi" w:hAnsiTheme="minorHAnsi" w:cs="Calibri"/>
          <w:b/>
        </w:rPr>
        <w:tab/>
      </w:r>
      <w:proofErr w:type="gramStart"/>
      <w:r w:rsidR="004E3FCB" w:rsidRPr="00B23B53">
        <w:rPr>
          <w:rFonts w:asciiTheme="minorHAnsi" w:hAnsiTheme="minorHAnsi" w:cs="Calibri"/>
          <w:b/>
        </w:rPr>
        <w:t>UC(</w:t>
      </w:r>
      <w:proofErr w:type="gramEnd"/>
      <w:r w:rsidR="00B23B53" w:rsidRPr="00B23B53">
        <w:rPr>
          <w:rFonts w:asciiTheme="minorHAnsi" w:hAnsiTheme="minorHAnsi" w:cs="Calibri"/>
          <w:b/>
        </w:rPr>
        <w:t>20</w:t>
      </w:r>
      <w:r w:rsidR="004E3FCB" w:rsidRPr="00B23B53">
        <w:rPr>
          <w:rFonts w:asciiTheme="minorHAnsi" w:hAnsiTheme="minorHAnsi" w:cs="Calibri"/>
          <w:b/>
        </w:rPr>
        <w:t>/</w:t>
      </w:r>
      <w:r w:rsidR="00B23B53" w:rsidRPr="00B23B53">
        <w:rPr>
          <w:rFonts w:asciiTheme="minorHAnsi" w:hAnsiTheme="minorHAnsi" w:cs="Calibri"/>
          <w:b/>
        </w:rPr>
        <w:t>21</w:t>
      </w:r>
      <w:r w:rsidR="004E3FCB" w:rsidRPr="00B23B53">
        <w:rPr>
          <w:rFonts w:asciiTheme="minorHAnsi" w:hAnsiTheme="minorHAnsi" w:cs="Calibri"/>
          <w:b/>
        </w:rPr>
        <w:t xml:space="preserve">) </w:t>
      </w:r>
      <w:r w:rsidR="00B23B53" w:rsidRPr="00B23B53">
        <w:rPr>
          <w:rFonts w:asciiTheme="minorHAnsi" w:hAnsiTheme="minorHAnsi" w:cs="Calibri"/>
          <w:b/>
        </w:rPr>
        <w:t>11</w:t>
      </w:r>
    </w:p>
    <w:p w14:paraId="534857A2" w14:textId="34639326" w:rsidR="004E3FCB" w:rsidRPr="00B23B53" w:rsidRDefault="0061417E" w:rsidP="004E3F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B23B53">
        <w:rPr>
          <w:rFonts w:asciiTheme="minorHAnsi" w:hAnsiTheme="minorHAnsi" w:cs="Calibri"/>
        </w:rPr>
        <w:t xml:space="preserve">Court </w:t>
      </w:r>
      <w:r w:rsidRPr="00B23B53">
        <w:rPr>
          <w:rFonts w:asciiTheme="minorHAnsi" w:hAnsiTheme="minorHAnsi" w:cs="Calibri"/>
          <w:b/>
        </w:rPr>
        <w:t>noted</w:t>
      </w:r>
      <w:r w:rsidRPr="00B23B53">
        <w:rPr>
          <w:rFonts w:asciiTheme="minorHAnsi" w:hAnsiTheme="minorHAnsi" w:cs="Calibri"/>
        </w:rPr>
        <w:t xml:space="preserve"> </w:t>
      </w:r>
      <w:r w:rsidR="004E3FCB" w:rsidRPr="00B23B53">
        <w:rPr>
          <w:rFonts w:asciiTheme="minorHAnsi" w:hAnsiTheme="minorHAnsi" w:cs="Calibri"/>
        </w:rPr>
        <w:t xml:space="preserve">the report from the meeting of </w:t>
      </w:r>
      <w:r w:rsidR="00B23B53" w:rsidRPr="00B23B53">
        <w:rPr>
          <w:rFonts w:asciiTheme="minorHAnsi" w:hAnsiTheme="minorHAnsi" w:cs="Calibri"/>
        </w:rPr>
        <w:t>9</w:t>
      </w:r>
      <w:r w:rsidR="004E3FCB" w:rsidRPr="00B23B53">
        <w:rPr>
          <w:rFonts w:asciiTheme="minorHAnsi" w:hAnsiTheme="minorHAnsi" w:cs="Calibri"/>
        </w:rPr>
        <w:t xml:space="preserve"> </w:t>
      </w:r>
      <w:r w:rsidR="00B23B53" w:rsidRPr="00B23B53">
        <w:rPr>
          <w:rFonts w:asciiTheme="minorHAnsi" w:hAnsiTheme="minorHAnsi" w:cs="Calibri"/>
        </w:rPr>
        <w:t xml:space="preserve">September </w:t>
      </w:r>
      <w:r w:rsidR="004E3FCB" w:rsidRPr="00B23B53">
        <w:rPr>
          <w:rFonts w:asciiTheme="minorHAnsi" w:hAnsiTheme="minorHAnsi" w:cs="Calibri"/>
        </w:rPr>
        <w:t>2020</w:t>
      </w:r>
      <w:r w:rsidRPr="00B23B53">
        <w:rPr>
          <w:rFonts w:asciiTheme="minorHAnsi" w:hAnsiTheme="minorHAnsi" w:cs="Calibri"/>
        </w:rPr>
        <w:t>.</w:t>
      </w:r>
    </w:p>
    <w:p w14:paraId="1956B2C7" w14:textId="77777777" w:rsidR="007D6887" w:rsidRPr="005C4224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</w:p>
    <w:p w14:paraId="4FADC0EF" w14:textId="77777777" w:rsidR="007D6887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B23B53">
        <w:rPr>
          <w:rFonts w:asciiTheme="minorHAnsi" w:hAnsiTheme="minorHAnsi" w:cs="Calibri"/>
          <w:b/>
          <w:i/>
        </w:rPr>
        <w:t>RISKS</w:t>
      </w:r>
    </w:p>
    <w:p w14:paraId="57CF7F44" w14:textId="77777777" w:rsidR="007D6887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D9C23F5" w14:textId="38A4103D" w:rsidR="007D6887" w:rsidRPr="000E330A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E330A">
        <w:rPr>
          <w:rFonts w:asciiTheme="minorHAnsi" w:hAnsiTheme="minorHAnsi" w:cs="Calibri"/>
          <w:b/>
        </w:rPr>
        <w:t>1</w:t>
      </w:r>
      <w:r w:rsidR="00B23B53" w:rsidRPr="000E330A">
        <w:rPr>
          <w:rFonts w:asciiTheme="minorHAnsi" w:hAnsiTheme="minorHAnsi" w:cs="Calibri"/>
          <w:b/>
        </w:rPr>
        <w:t>6</w:t>
      </w:r>
      <w:r w:rsidRPr="000E330A">
        <w:rPr>
          <w:rFonts w:asciiTheme="minorHAnsi" w:hAnsiTheme="minorHAnsi" w:cs="Calibri"/>
          <w:b/>
        </w:rPr>
        <w:t>.</w:t>
      </w:r>
      <w:r w:rsidRPr="000E330A">
        <w:rPr>
          <w:rFonts w:asciiTheme="minorHAnsi" w:hAnsiTheme="minorHAnsi" w:cs="Calibri"/>
          <w:b/>
        </w:rPr>
        <w:tab/>
        <w:t>RISKS ARISING</w:t>
      </w:r>
      <w:r w:rsidRPr="000E330A">
        <w:rPr>
          <w:rFonts w:asciiTheme="minorHAnsi" w:hAnsiTheme="minorHAnsi" w:cs="Calibri"/>
          <w:b/>
        </w:rPr>
        <w:tab/>
        <w:t>Oral</w:t>
      </w:r>
    </w:p>
    <w:p w14:paraId="6A1C6BA8" w14:textId="77777777" w:rsidR="007D6887" w:rsidRPr="00B23B53" w:rsidRDefault="007D6887" w:rsidP="007D688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0E330A">
        <w:rPr>
          <w:rFonts w:cs="Calibri"/>
        </w:rPr>
        <w:t xml:space="preserve">Court </w:t>
      </w:r>
      <w:r w:rsidRPr="000E330A">
        <w:rPr>
          <w:rFonts w:cs="Calibri"/>
          <w:b/>
        </w:rPr>
        <w:t>considered</w:t>
      </w:r>
      <w:r w:rsidRPr="000E330A">
        <w:rPr>
          <w:rFonts w:cs="Calibri"/>
        </w:rPr>
        <w:t xml:space="preserve"> ri</w:t>
      </w:r>
      <w:r w:rsidR="007B5359" w:rsidRPr="000E330A">
        <w:rPr>
          <w:rFonts w:cs="Calibri"/>
        </w:rPr>
        <w:t>sks associated with</w:t>
      </w:r>
      <w:r w:rsidRPr="000E330A">
        <w:rPr>
          <w:rFonts w:cs="Calibri"/>
        </w:rPr>
        <w:t xml:space="preserve"> items discussed in the context of the agreed risk appetite statement.</w:t>
      </w:r>
    </w:p>
    <w:p w14:paraId="5F5AFD65" w14:textId="77777777" w:rsidR="007D6887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F150A0" w14:textId="3FD456DC" w:rsidR="00840015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23B53">
        <w:rPr>
          <w:rFonts w:asciiTheme="minorHAnsi" w:hAnsiTheme="minorHAnsi" w:cs="Calibri"/>
          <w:b/>
        </w:rPr>
        <w:t>1</w:t>
      </w:r>
      <w:r w:rsidR="00B23B53" w:rsidRPr="00B23B53">
        <w:rPr>
          <w:rFonts w:asciiTheme="minorHAnsi" w:hAnsiTheme="minorHAnsi" w:cs="Calibri"/>
          <w:b/>
        </w:rPr>
        <w:t>7</w:t>
      </w:r>
      <w:r w:rsidRPr="00B23B53">
        <w:rPr>
          <w:rFonts w:asciiTheme="minorHAnsi" w:hAnsiTheme="minorHAnsi" w:cs="Calibri"/>
          <w:b/>
        </w:rPr>
        <w:t>.</w:t>
      </w:r>
      <w:r w:rsidRPr="00B23B53">
        <w:rPr>
          <w:rFonts w:asciiTheme="minorHAnsi" w:hAnsiTheme="minorHAnsi" w:cs="Calibri"/>
          <w:b/>
        </w:rPr>
        <w:tab/>
      </w:r>
      <w:r w:rsidR="00840015" w:rsidRPr="00B23B53">
        <w:rPr>
          <w:rFonts w:asciiTheme="minorHAnsi" w:hAnsiTheme="minorHAnsi" w:cs="Calibri"/>
          <w:b/>
        </w:rPr>
        <w:t>ANY OTHER COMPETENT BUSINESS</w:t>
      </w:r>
    </w:p>
    <w:p w14:paraId="40AEDCC5" w14:textId="3AB9DBE5" w:rsidR="00840015" w:rsidRPr="00AF17C8" w:rsidRDefault="00AF17C8" w:rsidP="005D1A68">
      <w:pPr>
        <w:tabs>
          <w:tab w:val="left" w:pos="709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AF17C8">
        <w:rPr>
          <w:rFonts w:asciiTheme="minorHAnsi" w:hAnsiTheme="minorHAnsi" w:cs="Calibri"/>
          <w:bCs/>
        </w:rPr>
        <w:t xml:space="preserve">The Chair </w:t>
      </w:r>
      <w:r>
        <w:rPr>
          <w:rFonts w:asciiTheme="minorHAnsi" w:hAnsiTheme="minorHAnsi" w:cs="Calibri"/>
          <w:bCs/>
        </w:rPr>
        <w:t xml:space="preserve">paid tribute to </w:t>
      </w:r>
      <w:r w:rsidR="00CF1FDA">
        <w:rPr>
          <w:rFonts w:asciiTheme="minorHAnsi" w:hAnsiTheme="minorHAnsi" w:cs="Calibri"/>
          <w:bCs/>
        </w:rPr>
        <w:t xml:space="preserve">former Chancellor </w:t>
      </w:r>
      <w:r>
        <w:rPr>
          <w:rFonts w:asciiTheme="minorHAnsi" w:hAnsiTheme="minorHAnsi" w:cs="Calibri"/>
          <w:bCs/>
        </w:rPr>
        <w:t xml:space="preserve">Dame Diana Rigg </w:t>
      </w:r>
      <w:r w:rsidR="00CF1FDA">
        <w:rPr>
          <w:rFonts w:asciiTheme="minorHAnsi" w:hAnsiTheme="minorHAnsi" w:cs="Calibri"/>
          <w:bCs/>
        </w:rPr>
        <w:t>who held the position from 1998 to 2008.  Members of Court were deeply saddened to learn of her passing and recognised the great contribution</w:t>
      </w:r>
      <w:r w:rsidR="008B6EBE">
        <w:rPr>
          <w:rFonts w:asciiTheme="minorHAnsi" w:hAnsiTheme="minorHAnsi" w:cs="Calibri"/>
          <w:bCs/>
        </w:rPr>
        <w:t xml:space="preserve"> she made to the University</w:t>
      </w:r>
      <w:r w:rsidR="005D1A68">
        <w:rPr>
          <w:rFonts w:asciiTheme="minorHAnsi" w:hAnsiTheme="minorHAnsi" w:cs="Calibri"/>
          <w:bCs/>
        </w:rPr>
        <w:t xml:space="preserve"> </w:t>
      </w:r>
      <w:r w:rsidR="00CF1FDA">
        <w:rPr>
          <w:rFonts w:asciiTheme="minorHAnsi" w:hAnsiTheme="minorHAnsi" w:cs="Calibri"/>
          <w:bCs/>
        </w:rPr>
        <w:t>over the years</w:t>
      </w:r>
      <w:r w:rsidRPr="00AF17C8">
        <w:rPr>
          <w:rFonts w:asciiTheme="minorHAnsi" w:hAnsiTheme="minorHAnsi" w:cs="Calibri"/>
          <w:bCs/>
        </w:rPr>
        <w:t xml:space="preserve">. </w:t>
      </w:r>
      <w:r w:rsidR="00840015" w:rsidRPr="00AF17C8">
        <w:rPr>
          <w:rFonts w:asciiTheme="minorHAnsi" w:hAnsiTheme="minorHAnsi" w:cs="Calibri"/>
          <w:bCs/>
        </w:rPr>
        <w:t xml:space="preserve"> </w:t>
      </w:r>
    </w:p>
    <w:p w14:paraId="0F5858D2" w14:textId="77777777" w:rsidR="00840015" w:rsidRPr="00B23B53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B542F4E" w14:textId="0291F445" w:rsidR="00840015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</w:rPr>
      </w:pPr>
      <w:r w:rsidRPr="00B23B53">
        <w:rPr>
          <w:rFonts w:asciiTheme="minorHAnsi" w:hAnsiTheme="minorHAnsi" w:cs="Calibri"/>
          <w:b/>
        </w:rPr>
        <w:t>1</w:t>
      </w:r>
      <w:r w:rsidR="00AF17C8">
        <w:rPr>
          <w:rFonts w:asciiTheme="minorHAnsi" w:hAnsiTheme="minorHAnsi" w:cs="Calibri"/>
          <w:b/>
        </w:rPr>
        <w:t>8</w:t>
      </w:r>
      <w:r w:rsidR="00840015" w:rsidRPr="00B23B53">
        <w:rPr>
          <w:rFonts w:asciiTheme="minorHAnsi" w:hAnsiTheme="minorHAnsi" w:cs="Calibri"/>
          <w:b/>
        </w:rPr>
        <w:t>.</w:t>
      </w:r>
      <w:r w:rsidR="00840015" w:rsidRPr="00B23B53">
        <w:rPr>
          <w:rFonts w:asciiTheme="minorHAnsi" w:hAnsiTheme="minorHAnsi" w:cs="Calibri"/>
          <w:b/>
        </w:rPr>
        <w:tab/>
        <w:t xml:space="preserve">NEXT MEETING </w:t>
      </w:r>
    </w:p>
    <w:p w14:paraId="77A793F5" w14:textId="24A618CB" w:rsidR="007D6887" w:rsidRPr="00B23B53" w:rsidRDefault="00840015" w:rsidP="007D6887">
      <w:pPr>
        <w:spacing w:after="0" w:line="240" w:lineRule="auto"/>
        <w:ind w:left="720"/>
        <w:jc w:val="both"/>
        <w:rPr>
          <w:rFonts w:cs="Calibri"/>
        </w:rPr>
      </w:pPr>
      <w:r w:rsidRPr="00B23B53">
        <w:rPr>
          <w:rFonts w:cs="Calibri"/>
        </w:rPr>
        <w:t xml:space="preserve">Court </w:t>
      </w:r>
      <w:r w:rsidRPr="00B23B53">
        <w:rPr>
          <w:rFonts w:cs="Calibri"/>
          <w:b/>
        </w:rPr>
        <w:t>noted</w:t>
      </w:r>
      <w:r w:rsidR="007B5359" w:rsidRPr="00B23B53">
        <w:rPr>
          <w:rFonts w:cs="Calibri"/>
        </w:rPr>
        <w:t xml:space="preserve"> </w:t>
      </w:r>
      <w:r w:rsidR="007D6887" w:rsidRPr="00B23B53">
        <w:rPr>
          <w:rFonts w:asciiTheme="minorHAnsi" w:hAnsiTheme="minorHAnsi" w:cs="Calibri"/>
        </w:rPr>
        <w:t xml:space="preserve">the </w:t>
      </w:r>
      <w:r w:rsidR="00B23B53" w:rsidRPr="00B23B53">
        <w:rPr>
          <w:rFonts w:asciiTheme="minorHAnsi" w:hAnsiTheme="minorHAnsi" w:cs="Calibri"/>
        </w:rPr>
        <w:t>next full me</w:t>
      </w:r>
      <w:r w:rsidR="008B6EBE">
        <w:rPr>
          <w:rFonts w:asciiTheme="minorHAnsi" w:hAnsiTheme="minorHAnsi" w:cs="Calibri"/>
        </w:rPr>
        <w:t>eting of Court was</w:t>
      </w:r>
      <w:r w:rsidR="007D6887" w:rsidRPr="00B23B53">
        <w:rPr>
          <w:rFonts w:asciiTheme="minorHAnsi" w:hAnsiTheme="minorHAnsi" w:cs="Calibri"/>
        </w:rPr>
        <w:t xml:space="preserve"> scheduled for</w:t>
      </w:r>
      <w:r w:rsidR="00B23B53" w:rsidRPr="00B23B53">
        <w:rPr>
          <w:rFonts w:asciiTheme="minorHAnsi" w:hAnsiTheme="minorHAnsi" w:cs="Calibri"/>
        </w:rPr>
        <w:t xml:space="preserve"> 14 December 2020</w:t>
      </w:r>
      <w:r w:rsidR="008B6EBE">
        <w:rPr>
          <w:rFonts w:asciiTheme="minorHAnsi" w:hAnsiTheme="minorHAnsi" w:cs="Calibri"/>
        </w:rPr>
        <w:t>.</w:t>
      </w:r>
    </w:p>
    <w:p w14:paraId="6E32D9B3" w14:textId="77777777" w:rsidR="007D6887" w:rsidRPr="00B23B53" w:rsidRDefault="007D6887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FD6998C" w14:textId="77777777" w:rsidR="00840015" w:rsidRPr="00B23B53" w:rsidRDefault="00840015" w:rsidP="00840015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6CD4A87" w14:textId="77777777" w:rsidR="00840015" w:rsidRPr="00B23B53" w:rsidRDefault="00840015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 w:rsidRPr="00B23B53">
        <w:rPr>
          <w:rFonts w:cs="Calibri"/>
          <w:b/>
          <w:sz w:val="20"/>
          <w:szCs w:val="18"/>
        </w:rPr>
        <w:t>Policy &amp; Planning</w:t>
      </w:r>
    </w:p>
    <w:p w14:paraId="1CB0FF80" w14:textId="15C7253A" w:rsidR="00840015" w:rsidRPr="001B42CD" w:rsidRDefault="00B23B53" w:rsidP="00840015">
      <w:pPr>
        <w:spacing w:after="0" w:line="240" w:lineRule="auto"/>
        <w:contextualSpacing/>
        <w:jc w:val="both"/>
        <w:rPr>
          <w:rFonts w:cs="Calibri"/>
          <w:b/>
          <w:sz w:val="20"/>
          <w:szCs w:val="18"/>
        </w:rPr>
      </w:pPr>
      <w:r w:rsidRPr="00B23B53">
        <w:rPr>
          <w:rFonts w:cs="Calibri"/>
          <w:b/>
          <w:sz w:val="20"/>
          <w:szCs w:val="18"/>
        </w:rPr>
        <w:t xml:space="preserve">September </w:t>
      </w:r>
      <w:r w:rsidR="00840015" w:rsidRPr="00B23B53">
        <w:rPr>
          <w:rFonts w:cs="Calibri"/>
          <w:b/>
          <w:sz w:val="20"/>
          <w:szCs w:val="18"/>
        </w:rPr>
        <w:t>2020</w:t>
      </w:r>
    </w:p>
    <w:p w14:paraId="4D469EE7" w14:textId="77777777" w:rsidR="00840015" w:rsidRDefault="00840015" w:rsidP="000E4EA9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94ACFBF" w14:textId="77777777" w:rsidR="003077FF" w:rsidRPr="00CC3C3F" w:rsidRDefault="003077FF" w:rsidP="00596A6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3077FF" w:rsidRPr="00CC3C3F" w:rsidSect="00D24121">
      <w:headerReference w:type="default" r:id="rId9"/>
      <w:footerReference w:type="default" r:id="rId10"/>
      <w:pgSz w:w="11906" w:h="16838"/>
      <w:pgMar w:top="1247" w:right="1440" w:bottom="124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7EF8A" w14:textId="77777777" w:rsidR="00A359CF" w:rsidRDefault="00A359CF" w:rsidP="0004055B">
      <w:pPr>
        <w:spacing w:after="0" w:line="240" w:lineRule="auto"/>
      </w:pPr>
      <w:r>
        <w:separator/>
      </w:r>
    </w:p>
  </w:endnote>
  <w:endnote w:type="continuationSeparator" w:id="0">
    <w:p w14:paraId="570D177E" w14:textId="77777777" w:rsidR="00A359CF" w:rsidRDefault="00A359CF" w:rsidP="0004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EDAD" w14:textId="1742C9E5" w:rsidR="00F63390" w:rsidRPr="00D60727" w:rsidRDefault="00F63390" w:rsidP="00EE564E">
    <w:pPr>
      <w:pStyle w:val="Footer"/>
      <w:spacing w:before="240" w:after="0"/>
      <w:jc w:val="right"/>
      <w:rPr>
        <w:rFonts w:ascii="Arial" w:hAnsi="Arial" w:cs="Arial"/>
        <w:i/>
        <w:sz w:val="16"/>
        <w:szCs w:val="16"/>
      </w:rPr>
    </w:pPr>
    <w:r w:rsidRPr="00D60727">
      <w:rPr>
        <w:rFonts w:ascii="Arial" w:hAnsi="Arial" w:cs="Arial"/>
        <w:i/>
        <w:sz w:val="16"/>
        <w:szCs w:val="16"/>
      </w:rPr>
      <w:t xml:space="preserve">Page </w:t>
    </w:r>
    <w:r w:rsidR="009B42A4"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PAGE </w:instrText>
    </w:r>
    <w:r w:rsidR="009B42A4" w:rsidRPr="00D60727">
      <w:rPr>
        <w:rFonts w:ascii="Arial" w:hAnsi="Arial" w:cs="Arial"/>
        <w:i/>
        <w:sz w:val="16"/>
        <w:szCs w:val="16"/>
      </w:rPr>
      <w:fldChar w:fldCharType="separate"/>
    </w:r>
    <w:r w:rsidR="008B6EBE">
      <w:rPr>
        <w:rFonts w:ascii="Arial" w:hAnsi="Arial" w:cs="Arial"/>
        <w:i/>
        <w:noProof/>
        <w:sz w:val="16"/>
        <w:szCs w:val="16"/>
      </w:rPr>
      <w:t>4</w:t>
    </w:r>
    <w:r w:rsidR="009B42A4" w:rsidRPr="00D60727">
      <w:rPr>
        <w:rFonts w:ascii="Arial" w:hAnsi="Arial" w:cs="Arial"/>
        <w:i/>
        <w:sz w:val="16"/>
        <w:szCs w:val="16"/>
      </w:rPr>
      <w:fldChar w:fldCharType="end"/>
    </w:r>
    <w:r w:rsidRPr="00D60727">
      <w:rPr>
        <w:rFonts w:ascii="Arial" w:hAnsi="Arial" w:cs="Arial"/>
        <w:i/>
        <w:sz w:val="16"/>
        <w:szCs w:val="16"/>
      </w:rPr>
      <w:t xml:space="preserve"> of </w:t>
    </w:r>
    <w:r w:rsidR="009B42A4" w:rsidRPr="00D60727">
      <w:rPr>
        <w:rFonts w:ascii="Arial" w:hAnsi="Arial" w:cs="Arial"/>
        <w:i/>
        <w:sz w:val="16"/>
        <w:szCs w:val="1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NUMPAGES  </w:instrText>
    </w:r>
    <w:r w:rsidR="009B42A4" w:rsidRPr="00D60727">
      <w:rPr>
        <w:rFonts w:ascii="Arial" w:hAnsi="Arial" w:cs="Arial"/>
        <w:i/>
        <w:sz w:val="16"/>
        <w:szCs w:val="16"/>
      </w:rPr>
      <w:fldChar w:fldCharType="separate"/>
    </w:r>
    <w:r w:rsidR="008B6EBE">
      <w:rPr>
        <w:rFonts w:ascii="Arial" w:hAnsi="Arial" w:cs="Arial"/>
        <w:i/>
        <w:noProof/>
        <w:sz w:val="16"/>
        <w:szCs w:val="16"/>
      </w:rPr>
      <w:t>4</w:t>
    </w:r>
    <w:r w:rsidR="009B42A4" w:rsidRPr="00D60727">
      <w:rPr>
        <w:rFonts w:ascii="Arial" w:hAnsi="Arial" w:cs="Arial"/>
        <w:i/>
        <w:sz w:val="16"/>
        <w:szCs w:val="16"/>
      </w:rPr>
      <w:fldChar w:fldCharType="end"/>
    </w:r>
  </w:p>
  <w:p w14:paraId="48E6B31B" w14:textId="77777777" w:rsidR="00F63390" w:rsidRDefault="00F63390">
    <w:pPr>
      <w:pStyle w:val="Footer"/>
      <w:jc w:val="right"/>
    </w:pPr>
  </w:p>
  <w:p w14:paraId="5571E18F" w14:textId="77777777" w:rsidR="00F63390" w:rsidRDefault="00F6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B57DE" w14:textId="77777777" w:rsidR="00A359CF" w:rsidRDefault="00A359CF" w:rsidP="0004055B">
      <w:pPr>
        <w:spacing w:after="0" w:line="240" w:lineRule="auto"/>
      </w:pPr>
      <w:r>
        <w:separator/>
      </w:r>
    </w:p>
  </w:footnote>
  <w:footnote w:type="continuationSeparator" w:id="0">
    <w:p w14:paraId="06ECA2EF" w14:textId="77777777" w:rsidR="00A359CF" w:rsidRDefault="00A359CF" w:rsidP="0004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BA27" w14:textId="5FFCC364" w:rsidR="00F63390" w:rsidRPr="00AC707F" w:rsidRDefault="00F63390">
    <w:pPr>
      <w:pStyle w:val="Header"/>
    </w:pPr>
    <w:r w:rsidRPr="00AC707F">
      <w:tab/>
    </w:r>
    <w:r w:rsidRPr="00AC707F">
      <w:tab/>
      <w:t xml:space="preserve">UC </w:t>
    </w:r>
    <w:r>
      <w:t>(</w:t>
    </w:r>
    <w:r w:rsidR="005C4224">
      <w:t>20</w:t>
    </w:r>
    <w:r>
      <w:t>/2</w:t>
    </w:r>
    <w:r w:rsidR="005C4224">
      <w:t>1</w:t>
    </w:r>
    <w:r w:rsidRPr="00AC707F">
      <w:t xml:space="preserve">) Minutes </w:t>
    </w:r>
    <w:r w:rsidR="005C422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07DE"/>
    <w:multiLevelType w:val="hybridMultilevel"/>
    <w:tmpl w:val="0D3E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A9C"/>
    <w:multiLevelType w:val="multilevel"/>
    <w:tmpl w:val="C7709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127E"/>
    <w:multiLevelType w:val="hybridMultilevel"/>
    <w:tmpl w:val="544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73D"/>
    <w:multiLevelType w:val="hybridMultilevel"/>
    <w:tmpl w:val="5626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7806"/>
    <w:multiLevelType w:val="hybridMultilevel"/>
    <w:tmpl w:val="BF965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A1D22"/>
    <w:multiLevelType w:val="hybridMultilevel"/>
    <w:tmpl w:val="D01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3A5"/>
    <w:multiLevelType w:val="hybridMultilevel"/>
    <w:tmpl w:val="BCCA1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C2F3B"/>
    <w:multiLevelType w:val="hybridMultilevel"/>
    <w:tmpl w:val="6CF8CC4E"/>
    <w:lvl w:ilvl="0" w:tplc="7E60AC96">
      <w:start w:val="1"/>
      <w:numFmt w:val="decimal"/>
      <w:lvlText w:val="%1)"/>
      <w:lvlJc w:val="left"/>
      <w:pPr>
        <w:ind w:left="1640" w:hanging="920"/>
      </w:pPr>
      <w:rPr>
        <w:rFonts w:asciiTheme="minorHAnsi" w:hAnsiTheme="minorHAnsi" w:cs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82E9E"/>
    <w:multiLevelType w:val="multilevel"/>
    <w:tmpl w:val="28F4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C5D08"/>
    <w:multiLevelType w:val="hybridMultilevel"/>
    <w:tmpl w:val="11EE3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D17CF"/>
    <w:multiLevelType w:val="multilevel"/>
    <w:tmpl w:val="39B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87FB4"/>
    <w:multiLevelType w:val="multilevel"/>
    <w:tmpl w:val="DDBC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1C3A46"/>
    <w:multiLevelType w:val="hybridMultilevel"/>
    <w:tmpl w:val="89CA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86A42"/>
    <w:multiLevelType w:val="hybridMultilevel"/>
    <w:tmpl w:val="242ABA7E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F3317"/>
    <w:multiLevelType w:val="hybridMultilevel"/>
    <w:tmpl w:val="82C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11DE1"/>
    <w:multiLevelType w:val="multilevel"/>
    <w:tmpl w:val="0F72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27365"/>
    <w:multiLevelType w:val="hybridMultilevel"/>
    <w:tmpl w:val="0332DA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3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6"/>
  </w:num>
  <w:num w:numId="16">
    <w:abstractNumId w:val="8"/>
  </w:num>
  <w:num w:numId="17">
    <w:abstractNumId w:val="10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21A0"/>
    <w:rsid w:val="00002AA0"/>
    <w:rsid w:val="000150AF"/>
    <w:rsid w:val="00015FBD"/>
    <w:rsid w:val="0002417D"/>
    <w:rsid w:val="00026477"/>
    <w:rsid w:val="000266C4"/>
    <w:rsid w:val="00027065"/>
    <w:rsid w:val="00030828"/>
    <w:rsid w:val="00035E2A"/>
    <w:rsid w:val="00036759"/>
    <w:rsid w:val="000368D1"/>
    <w:rsid w:val="00036EDD"/>
    <w:rsid w:val="0004055B"/>
    <w:rsid w:val="0004191A"/>
    <w:rsid w:val="00043853"/>
    <w:rsid w:val="00043AA2"/>
    <w:rsid w:val="00044E97"/>
    <w:rsid w:val="00045201"/>
    <w:rsid w:val="00052BEB"/>
    <w:rsid w:val="00052F05"/>
    <w:rsid w:val="0005366E"/>
    <w:rsid w:val="00054591"/>
    <w:rsid w:val="00060ADE"/>
    <w:rsid w:val="00063A04"/>
    <w:rsid w:val="00063D16"/>
    <w:rsid w:val="00065EDC"/>
    <w:rsid w:val="00067B2D"/>
    <w:rsid w:val="00074AAA"/>
    <w:rsid w:val="00082254"/>
    <w:rsid w:val="000849B0"/>
    <w:rsid w:val="00090A29"/>
    <w:rsid w:val="00092842"/>
    <w:rsid w:val="00096CB4"/>
    <w:rsid w:val="00097D4F"/>
    <w:rsid w:val="000B02EA"/>
    <w:rsid w:val="000B21C6"/>
    <w:rsid w:val="000B4B08"/>
    <w:rsid w:val="000B6E58"/>
    <w:rsid w:val="000B6F77"/>
    <w:rsid w:val="000C4B67"/>
    <w:rsid w:val="000C51AC"/>
    <w:rsid w:val="000C5DE4"/>
    <w:rsid w:val="000D59F8"/>
    <w:rsid w:val="000D6EA7"/>
    <w:rsid w:val="000E0D42"/>
    <w:rsid w:val="000E330A"/>
    <w:rsid w:val="000E4EA9"/>
    <w:rsid w:val="000E4ECF"/>
    <w:rsid w:val="000E4F6E"/>
    <w:rsid w:val="000E530F"/>
    <w:rsid w:val="000E7F03"/>
    <w:rsid w:val="000F0BF3"/>
    <w:rsid w:val="000F36C0"/>
    <w:rsid w:val="000F45D4"/>
    <w:rsid w:val="000F60FA"/>
    <w:rsid w:val="000F7409"/>
    <w:rsid w:val="000F7859"/>
    <w:rsid w:val="001017C2"/>
    <w:rsid w:val="00103765"/>
    <w:rsid w:val="00104121"/>
    <w:rsid w:val="00105AB5"/>
    <w:rsid w:val="00107600"/>
    <w:rsid w:val="0010776A"/>
    <w:rsid w:val="00116CB2"/>
    <w:rsid w:val="0011750E"/>
    <w:rsid w:val="00117F1A"/>
    <w:rsid w:val="00117F42"/>
    <w:rsid w:val="001205D2"/>
    <w:rsid w:val="001275CA"/>
    <w:rsid w:val="001307C0"/>
    <w:rsid w:val="00130A12"/>
    <w:rsid w:val="00133B1B"/>
    <w:rsid w:val="001355CA"/>
    <w:rsid w:val="001357A8"/>
    <w:rsid w:val="0014177B"/>
    <w:rsid w:val="00150CF4"/>
    <w:rsid w:val="00151A5A"/>
    <w:rsid w:val="001554B1"/>
    <w:rsid w:val="00157893"/>
    <w:rsid w:val="001602BB"/>
    <w:rsid w:val="00162866"/>
    <w:rsid w:val="00163D8A"/>
    <w:rsid w:val="001673EC"/>
    <w:rsid w:val="0016765E"/>
    <w:rsid w:val="0017294F"/>
    <w:rsid w:val="00176AF1"/>
    <w:rsid w:val="00176F5A"/>
    <w:rsid w:val="001807A9"/>
    <w:rsid w:val="001808D5"/>
    <w:rsid w:val="0018106B"/>
    <w:rsid w:val="00183243"/>
    <w:rsid w:val="00184A59"/>
    <w:rsid w:val="00185A76"/>
    <w:rsid w:val="00190AFD"/>
    <w:rsid w:val="00194E61"/>
    <w:rsid w:val="0019521F"/>
    <w:rsid w:val="001968F7"/>
    <w:rsid w:val="00197B9A"/>
    <w:rsid w:val="001A0DA4"/>
    <w:rsid w:val="001A526A"/>
    <w:rsid w:val="001B1664"/>
    <w:rsid w:val="001B45FE"/>
    <w:rsid w:val="001B556D"/>
    <w:rsid w:val="001B64E8"/>
    <w:rsid w:val="001C3A1F"/>
    <w:rsid w:val="001C4F9D"/>
    <w:rsid w:val="001C5C4B"/>
    <w:rsid w:val="001C6173"/>
    <w:rsid w:val="001D27EC"/>
    <w:rsid w:val="001D3412"/>
    <w:rsid w:val="001D3E1F"/>
    <w:rsid w:val="001E4EE5"/>
    <w:rsid w:val="001E5F28"/>
    <w:rsid w:val="001E635E"/>
    <w:rsid w:val="001E7237"/>
    <w:rsid w:val="001E7A1E"/>
    <w:rsid w:val="001F4D40"/>
    <w:rsid w:val="001F5BD6"/>
    <w:rsid w:val="001F6EE9"/>
    <w:rsid w:val="001F74BD"/>
    <w:rsid w:val="002010BC"/>
    <w:rsid w:val="00202753"/>
    <w:rsid w:val="00204605"/>
    <w:rsid w:val="00225445"/>
    <w:rsid w:val="00230D68"/>
    <w:rsid w:val="00231943"/>
    <w:rsid w:val="0023274C"/>
    <w:rsid w:val="00234217"/>
    <w:rsid w:val="00236B65"/>
    <w:rsid w:val="00237C47"/>
    <w:rsid w:val="00245FC3"/>
    <w:rsid w:val="00247EEE"/>
    <w:rsid w:val="00256C58"/>
    <w:rsid w:val="0026121C"/>
    <w:rsid w:val="00262508"/>
    <w:rsid w:val="0026389A"/>
    <w:rsid w:val="00263D27"/>
    <w:rsid w:val="00277C88"/>
    <w:rsid w:val="00283318"/>
    <w:rsid w:val="00283B6C"/>
    <w:rsid w:val="00283C05"/>
    <w:rsid w:val="00286D6B"/>
    <w:rsid w:val="002902BF"/>
    <w:rsid w:val="002946E6"/>
    <w:rsid w:val="00295447"/>
    <w:rsid w:val="002A130D"/>
    <w:rsid w:val="002A56A7"/>
    <w:rsid w:val="002C17DA"/>
    <w:rsid w:val="002C1BD2"/>
    <w:rsid w:val="002C1F73"/>
    <w:rsid w:val="002D03E1"/>
    <w:rsid w:val="002D0672"/>
    <w:rsid w:val="002D5100"/>
    <w:rsid w:val="002D792E"/>
    <w:rsid w:val="002E24BB"/>
    <w:rsid w:val="002E3A77"/>
    <w:rsid w:val="002E4B32"/>
    <w:rsid w:val="002E7A36"/>
    <w:rsid w:val="003001EA"/>
    <w:rsid w:val="003040D6"/>
    <w:rsid w:val="0030526A"/>
    <w:rsid w:val="00305A75"/>
    <w:rsid w:val="003077FF"/>
    <w:rsid w:val="0031242C"/>
    <w:rsid w:val="00317FBB"/>
    <w:rsid w:val="00320486"/>
    <w:rsid w:val="00321BC8"/>
    <w:rsid w:val="0032242B"/>
    <w:rsid w:val="003225FF"/>
    <w:rsid w:val="00325FB6"/>
    <w:rsid w:val="003358FE"/>
    <w:rsid w:val="003372FE"/>
    <w:rsid w:val="00337A51"/>
    <w:rsid w:val="00342EC5"/>
    <w:rsid w:val="00342EF4"/>
    <w:rsid w:val="003436D8"/>
    <w:rsid w:val="00343E2B"/>
    <w:rsid w:val="0034429E"/>
    <w:rsid w:val="00350A94"/>
    <w:rsid w:val="00350FB2"/>
    <w:rsid w:val="003521B6"/>
    <w:rsid w:val="003626AA"/>
    <w:rsid w:val="003626BE"/>
    <w:rsid w:val="00363192"/>
    <w:rsid w:val="00366ED2"/>
    <w:rsid w:val="00377A39"/>
    <w:rsid w:val="00387145"/>
    <w:rsid w:val="00396845"/>
    <w:rsid w:val="00396A82"/>
    <w:rsid w:val="003A049A"/>
    <w:rsid w:val="003A311D"/>
    <w:rsid w:val="003A6249"/>
    <w:rsid w:val="003B07F3"/>
    <w:rsid w:val="003B0FDA"/>
    <w:rsid w:val="003B22CE"/>
    <w:rsid w:val="003B3B0C"/>
    <w:rsid w:val="003B5D25"/>
    <w:rsid w:val="003C2B37"/>
    <w:rsid w:val="003C4A6A"/>
    <w:rsid w:val="003D05F8"/>
    <w:rsid w:val="003D3CE1"/>
    <w:rsid w:val="003D637C"/>
    <w:rsid w:val="003D7870"/>
    <w:rsid w:val="003E4A9A"/>
    <w:rsid w:val="003E7BAF"/>
    <w:rsid w:val="003F0600"/>
    <w:rsid w:val="003F11CB"/>
    <w:rsid w:val="003F2A17"/>
    <w:rsid w:val="003F6B43"/>
    <w:rsid w:val="003F6D90"/>
    <w:rsid w:val="003F7DDF"/>
    <w:rsid w:val="004013DE"/>
    <w:rsid w:val="00401744"/>
    <w:rsid w:val="0040574C"/>
    <w:rsid w:val="004064C8"/>
    <w:rsid w:val="00407388"/>
    <w:rsid w:val="00413C1C"/>
    <w:rsid w:val="00415312"/>
    <w:rsid w:val="004156A4"/>
    <w:rsid w:val="00415C74"/>
    <w:rsid w:val="0041645F"/>
    <w:rsid w:val="00417D05"/>
    <w:rsid w:val="00425E58"/>
    <w:rsid w:val="00426259"/>
    <w:rsid w:val="00430488"/>
    <w:rsid w:val="004305D2"/>
    <w:rsid w:val="004315EF"/>
    <w:rsid w:val="0043478B"/>
    <w:rsid w:val="00435A88"/>
    <w:rsid w:val="00437A96"/>
    <w:rsid w:val="00442FD6"/>
    <w:rsid w:val="004460CA"/>
    <w:rsid w:val="00452128"/>
    <w:rsid w:val="00456643"/>
    <w:rsid w:val="0045709C"/>
    <w:rsid w:val="00457D85"/>
    <w:rsid w:val="00457ECA"/>
    <w:rsid w:val="00462451"/>
    <w:rsid w:val="0046297F"/>
    <w:rsid w:val="004655A7"/>
    <w:rsid w:val="004669D9"/>
    <w:rsid w:val="004674D5"/>
    <w:rsid w:val="0047416B"/>
    <w:rsid w:val="00474D4D"/>
    <w:rsid w:val="00476FA8"/>
    <w:rsid w:val="00480F87"/>
    <w:rsid w:val="00483B48"/>
    <w:rsid w:val="00487A5A"/>
    <w:rsid w:val="00490593"/>
    <w:rsid w:val="0049326D"/>
    <w:rsid w:val="004972DE"/>
    <w:rsid w:val="004A04B1"/>
    <w:rsid w:val="004A39C5"/>
    <w:rsid w:val="004A4B43"/>
    <w:rsid w:val="004B01CD"/>
    <w:rsid w:val="004B0B34"/>
    <w:rsid w:val="004C19A4"/>
    <w:rsid w:val="004D0FFB"/>
    <w:rsid w:val="004D1648"/>
    <w:rsid w:val="004E267E"/>
    <w:rsid w:val="004E3FCB"/>
    <w:rsid w:val="004E4864"/>
    <w:rsid w:val="004E60CA"/>
    <w:rsid w:val="004F1A64"/>
    <w:rsid w:val="004F66C2"/>
    <w:rsid w:val="00501270"/>
    <w:rsid w:val="00501CB7"/>
    <w:rsid w:val="00504C69"/>
    <w:rsid w:val="00506234"/>
    <w:rsid w:val="00507BF3"/>
    <w:rsid w:val="005241EA"/>
    <w:rsid w:val="00524BBF"/>
    <w:rsid w:val="00526092"/>
    <w:rsid w:val="00526BC3"/>
    <w:rsid w:val="00527490"/>
    <w:rsid w:val="00532602"/>
    <w:rsid w:val="0053781E"/>
    <w:rsid w:val="00540423"/>
    <w:rsid w:val="005423A3"/>
    <w:rsid w:val="00544CE3"/>
    <w:rsid w:val="00545169"/>
    <w:rsid w:val="00545A1F"/>
    <w:rsid w:val="00545AE2"/>
    <w:rsid w:val="00552FF5"/>
    <w:rsid w:val="005539DA"/>
    <w:rsid w:val="00560522"/>
    <w:rsid w:val="005632C4"/>
    <w:rsid w:val="005640A1"/>
    <w:rsid w:val="005666D8"/>
    <w:rsid w:val="00566FFF"/>
    <w:rsid w:val="00567B5B"/>
    <w:rsid w:val="0057021A"/>
    <w:rsid w:val="00571374"/>
    <w:rsid w:val="00577DB2"/>
    <w:rsid w:val="005830A3"/>
    <w:rsid w:val="0058451A"/>
    <w:rsid w:val="00584916"/>
    <w:rsid w:val="0058546C"/>
    <w:rsid w:val="00593ABF"/>
    <w:rsid w:val="005952C9"/>
    <w:rsid w:val="00596A6F"/>
    <w:rsid w:val="005A0CBD"/>
    <w:rsid w:val="005A0E06"/>
    <w:rsid w:val="005A2D4E"/>
    <w:rsid w:val="005A6DB5"/>
    <w:rsid w:val="005B26BB"/>
    <w:rsid w:val="005B516C"/>
    <w:rsid w:val="005B5710"/>
    <w:rsid w:val="005B6A08"/>
    <w:rsid w:val="005B720D"/>
    <w:rsid w:val="005C4224"/>
    <w:rsid w:val="005C4712"/>
    <w:rsid w:val="005C66B6"/>
    <w:rsid w:val="005D1A68"/>
    <w:rsid w:val="005D2B7A"/>
    <w:rsid w:val="005D2D58"/>
    <w:rsid w:val="005D3988"/>
    <w:rsid w:val="005D6D31"/>
    <w:rsid w:val="005E147E"/>
    <w:rsid w:val="005E4FB2"/>
    <w:rsid w:val="005E769B"/>
    <w:rsid w:val="005F0924"/>
    <w:rsid w:val="005F0CB2"/>
    <w:rsid w:val="005F76E5"/>
    <w:rsid w:val="00600BA2"/>
    <w:rsid w:val="00600F84"/>
    <w:rsid w:val="0060692A"/>
    <w:rsid w:val="00607027"/>
    <w:rsid w:val="00610311"/>
    <w:rsid w:val="00611054"/>
    <w:rsid w:val="00612474"/>
    <w:rsid w:val="006129B7"/>
    <w:rsid w:val="00612FE5"/>
    <w:rsid w:val="0061417E"/>
    <w:rsid w:val="0061636C"/>
    <w:rsid w:val="00617ED9"/>
    <w:rsid w:val="00620195"/>
    <w:rsid w:val="006205AC"/>
    <w:rsid w:val="00627CBA"/>
    <w:rsid w:val="00630B5D"/>
    <w:rsid w:val="00632EDF"/>
    <w:rsid w:val="006359B6"/>
    <w:rsid w:val="00636F5F"/>
    <w:rsid w:val="0064457F"/>
    <w:rsid w:val="00652E35"/>
    <w:rsid w:val="00657819"/>
    <w:rsid w:val="00661235"/>
    <w:rsid w:val="006632E3"/>
    <w:rsid w:val="00663E14"/>
    <w:rsid w:val="00664264"/>
    <w:rsid w:val="00670FB5"/>
    <w:rsid w:val="00671D59"/>
    <w:rsid w:val="00673941"/>
    <w:rsid w:val="00674AE6"/>
    <w:rsid w:val="00677C84"/>
    <w:rsid w:val="0069043C"/>
    <w:rsid w:val="00695B08"/>
    <w:rsid w:val="00697A58"/>
    <w:rsid w:val="006A12B4"/>
    <w:rsid w:val="006A1B97"/>
    <w:rsid w:val="006A4E80"/>
    <w:rsid w:val="006B29DD"/>
    <w:rsid w:val="006C521A"/>
    <w:rsid w:val="006C7633"/>
    <w:rsid w:val="006D0F71"/>
    <w:rsid w:val="006D34E7"/>
    <w:rsid w:val="006D68D6"/>
    <w:rsid w:val="006E240E"/>
    <w:rsid w:val="006E417E"/>
    <w:rsid w:val="006E5B4B"/>
    <w:rsid w:val="006F14E2"/>
    <w:rsid w:val="00700715"/>
    <w:rsid w:val="007020D6"/>
    <w:rsid w:val="0070538E"/>
    <w:rsid w:val="00710E30"/>
    <w:rsid w:val="007131CF"/>
    <w:rsid w:val="007162EE"/>
    <w:rsid w:val="007165A7"/>
    <w:rsid w:val="007165EC"/>
    <w:rsid w:val="00717AF4"/>
    <w:rsid w:val="007224C5"/>
    <w:rsid w:val="007229D5"/>
    <w:rsid w:val="00722C71"/>
    <w:rsid w:val="007306B3"/>
    <w:rsid w:val="00732A22"/>
    <w:rsid w:val="007366BD"/>
    <w:rsid w:val="0074092E"/>
    <w:rsid w:val="007415C6"/>
    <w:rsid w:val="00742D05"/>
    <w:rsid w:val="00743D36"/>
    <w:rsid w:val="00743FA2"/>
    <w:rsid w:val="00745175"/>
    <w:rsid w:val="00747B7D"/>
    <w:rsid w:val="00755853"/>
    <w:rsid w:val="00755ECF"/>
    <w:rsid w:val="00757D0B"/>
    <w:rsid w:val="007644FF"/>
    <w:rsid w:val="00766997"/>
    <w:rsid w:val="00766FF4"/>
    <w:rsid w:val="00771319"/>
    <w:rsid w:val="00773237"/>
    <w:rsid w:val="00773D93"/>
    <w:rsid w:val="00776DBA"/>
    <w:rsid w:val="007778C5"/>
    <w:rsid w:val="00781B46"/>
    <w:rsid w:val="007830D9"/>
    <w:rsid w:val="007842E7"/>
    <w:rsid w:val="00785521"/>
    <w:rsid w:val="00786563"/>
    <w:rsid w:val="007968C7"/>
    <w:rsid w:val="00797C0C"/>
    <w:rsid w:val="007A1FF8"/>
    <w:rsid w:val="007A498A"/>
    <w:rsid w:val="007A60A0"/>
    <w:rsid w:val="007B30A1"/>
    <w:rsid w:val="007B5359"/>
    <w:rsid w:val="007B5B86"/>
    <w:rsid w:val="007B7DB3"/>
    <w:rsid w:val="007C0822"/>
    <w:rsid w:val="007C0C5D"/>
    <w:rsid w:val="007C1BC7"/>
    <w:rsid w:val="007C1F0D"/>
    <w:rsid w:val="007C2BE5"/>
    <w:rsid w:val="007C75D4"/>
    <w:rsid w:val="007D395A"/>
    <w:rsid w:val="007D3D0F"/>
    <w:rsid w:val="007D672A"/>
    <w:rsid w:val="007D6887"/>
    <w:rsid w:val="007E2E51"/>
    <w:rsid w:val="007F1FD7"/>
    <w:rsid w:val="007F6CD7"/>
    <w:rsid w:val="00811532"/>
    <w:rsid w:val="00812EA6"/>
    <w:rsid w:val="00813091"/>
    <w:rsid w:val="00815F38"/>
    <w:rsid w:val="00817CC8"/>
    <w:rsid w:val="00823091"/>
    <w:rsid w:val="008322C8"/>
    <w:rsid w:val="00832D20"/>
    <w:rsid w:val="00834C1D"/>
    <w:rsid w:val="00835EB2"/>
    <w:rsid w:val="00837900"/>
    <w:rsid w:val="00840015"/>
    <w:rsid w:val="008429E1"/>
    <w:rsid w:val="008440FB"/>
    <w:rsid w:val="008441E5"/>
    <w:rsid w:val="00845951"/>
    <w:rsid w:val="00847222"/>
    <w:rsid w:val="00847885"/>
    <w:rsid w:val="00847DF5"/>
    <w:rsid w:val="00854721"/>
    <w:rsid w:val="00854762"/>
    <w:rsid w:val="00863000"/>
    <w:rsid w:val="00866E7B"/>
    <w:rsid w:val="00874DE6"/>
    <w:rsid w:val="00877EBA"/>
    <w:rsid w:val="00880748"/>
    <w:rsid w:val="00880D09"/>
    <w:rsid w:val="00881C5D"/>
    <w:rsid w:val="00887F28"/>
    <w:rsid w:val="008906E3"/>
    <w:rsid w:val="00893787"/>
    <w:rsid w:val="00894A24"/>
    <w:rsid w:val="008959AA"/>
    <w:rsid w:val="008A53A7"/>
    <w:rsid w:val="008B4C90"/>
    <w:rsid w:val="008B5DD4"/>
    <w:rsid w:val="008B6EBE"/>
    <w:rsid w:val="008C192B"/>
    <w:rsid w:val="008C220D"/>
    <w:rsid w:val="008C2A29"/>
    <w:rsid w:val="008C3357"/>
    <w:rsid w:val="008C7778"/>
    <w:rsid w:val="008D1A6F"/>
    <w:rsid w:val="008D26D8"/>
    <w:rsid w:val="008D3D21"/>
    <w:rsid w:val="008D5694"/>
    <w:rsid w:val="008D62B2"/>
    <w:rsid w:val="008D64C7"/>
    <w:rsid w:val="008D7352"/>
    <w:rsid w:val="008E45C1"/>
    <w:rsid w:val="008E6D03"/>
    <w:rsid w:val="008F027D"/>
    <w:rsid w:val="008F4A1F"/>
    <w:rsid w:val="008F4A75"/>
    <w:rsid w:val="008F4B95"/>
    <w:rsid w:val="0090004A"/>
    <w:rsid w:val="00902E65"/>
    <w:rsid w:val="00904A11"/>
    <w:rsid w:val="009051AB"/>
    <w:rsid w:val="00905FCE"/>
    <w:rsid w:val="0090637F"/>
    <w:rsid w:val="009111D7"/>
    <w:rsid w:val="009253B6"/>
    <w:rsid w:val="009253C4"/>
    <w:rsid w:val="009272AF"/>
    <w:rsid w:val="00930F31"/>
    <w:rsid w:val="00934C5F"/>
    <w:rsid w:val="00944B5A"/>
    <w:rsid w:val="00952676"/>
    <w:rsid w:val="009564CA"/>
    <w:rsid w:val="0096105F"/>
    <w:rsid w:val="009700A3"/>
    <w:rsid w:val="009708E2"/>
    <w:rsid w:val="009730BA"/>
    <w:rsid w:val="00975AA1"/>
    <w:rsid w:val="0098076B"/>
    <w:rsid w:val="00981693"/>
    <w:rsid w:val="0098460B"/>
    <w:rsid w:val="009850FC"/>
    <w:rsid w:val="00986F10"/>
    <w:rsid w:val="00990EA3"/>
    <w:rsid w:val="00991136"/>
    <w:rsid w:val="00991182"/>
    <w:rsid w:val="00991966"/>
    <w:rsid w:val="00991B8A"/>
    <w:rsid w:val="009923B9"/>
    <w:rsid w:val="00992693"/>
    <w:rsid w:val="00993633"/>
    <w:rsid w:val="00993BFD"/>
    <w:rsid w:val="0099748F"/>
    <w:rsid w:val="009A17A9"/>
    <w:rsid w:val="009B0A7F"/>
    <w:rsid w:val="009B42A4"/>
    <w:rsid w:val="009C491C"/>
    <w:rsid w:val="009C6390"/>
    <w:rsid w:val="009C6DCD"/>
    <w:rsid w:val="009C7CA7"/>
    <w:rsid w:val="009D1ADF"/>
    <w:rsid w:val="009D2D63"/>
    <w:rsid w:val="009D3ACF"/>
    <w:rsid w:val="009D596D"/>
    <w:rsid w:val="009E1CAE"/>
    <w:rsid w:val="009E3276"/>
    <w:rsid w:val="009E4780"/>
    <w:rsid w:val="009E4BB0"/>
    <w:rsid w:val="009F4809"/>
    <w:rsid w:val="00A01A2D"/>
    <w:rsid w:val="00A04C08"/>
    <w:rsid w:val="00A1284E"/>
    <w:rsid w:val="00A175FE"/>
    <w:rsid w:val="00A208A1"/>
    <w:rsid w:val="00A217C6"/>
    <w:rsid w:val="00A21ABE"/>
    <w:rsid w:val="00A22E36"/>
    <w:rsid w:val="00A26C8E"/>
    <w:rsid w:val="00A3156A"/>
    <w:rsid w:val="00A31991"/>
    <w:rsid w:val="00A34498"/>
    <w:rsid w:val="00A35064"/>
    <w:rsid w:val="00A359CF"/>
    <w:rsid w:val="00A4025F"/>
    <w:rsid w:val="00A4134E"/>
    <w:rsid w:val="00A443BC"/>
    <w:rsid w:val="00A44913"/>
    <w:rsid w:val="00A47DDA"/>
    <w:rsid w:val="00A63C43"/>
    <w:rsid w:val="00A64D3E"/>
    <w:rsid w:val="00A66F24"/>
    <w:rsid w:val="00A743D3"/>
    <w:rsid w:val="00A75216"/>
    <w:rsid w:val="00A75A12"/>
    <w:rsid w:val="00A76A5E"/>
    <w:rsid w:val="00A77074"/>
    <w:rsid w:val="00A777B8"/>
    <w:rsid w:val="00A77996"/>
    <w:rsid w:val="00A80858"/>
    <w:rsid w:val="00A80BBB"/>
    <w:rsid w:val="00A82996"/>
    <w:rsid w:val="00A82ACE"/>
    <w:rsid w:val="00A862A4"/>
    <w:rsid w:val="00A87A1E"/>
    <w:rsid w:val="00A91F9F"/>
    <w:rsid w:val="00A96143"/>
    <w:rsid w:val="00A975FA"/>
    <w:rsid w:val="00A97EB3"/>
    <w:rsid w:val="00AA19DB"/>
    <w:rsid w:val="00AA24E8"/>
    <w:rsid w:val="00AA4684"/>
    <w:rsid w:val="00AA4D62"/>
    <w:rsid w:val="00AA50D1"/>
    <w:rsid w:val="00AB3777"/>
    <w:rsid w:val="00AB4E85"/>
    <w:rsid w:val="00AB5656"/>
    <w:rsid w:val="00AB65C2"/>
    <w:rsid w:val="00AB7E65"/>
    <w:rsid w:val="00AC1082"/>
    <w:rsid w:val="00AC11B8"/>
    <w:rsid w:val="00AC3830"/>
    <w:rsid w:val="00AC641D"/>
    <w:rsid w:val="00AC707F"/>
    <w:rsid w:val="00AC7A9E"/>
    <w:rsid w:val="00AC7CF4"/>
    <w:rsid w:val="00AD0525"/>
    <w:rsid w:val="00AD0B79"/>
    <w:rsid w:val="00AD0FD8"/>
    <w:rsid w:val="00AD1EB2"/>
    <w:rsid w:val="00AD4583"/>
    <w:rsid w:val="00AD54A1"/>
    <w:rsid w:val="00AD6179"/>
    <w:rsid w:val="00AD6652"/>
    <w:rsid w:val="00AE271C"/>
    <w:rsid w:val="00AE2BB3"/>
    <w:rsid w:val="00AE398C"/>
    <w:rsid w:val="00AE4B9E"/>
    <w:rsid w:val="00AE613B"/>
    <w:rsid w:val="00AE6891"/>
    <w:rsid w:val="00AE76B6"/>
    <w:rsid w:val="00AF17C8"/>
    <w:rsid w:val="00AF1D88"/>
    <w:rsid w:val="00AF4BED"/>
    <w:rsid w:val="00AF6961"/>
    <w:rsid w:val="00AF7486"/>
    <w:rsid w:val="00AF7A0A"/>
    <w:rsid w:val="00AF7E6F"/>
    <w:rsid w:val="00B00343"/>
    <w:rsid w:val="00B03B89"/>
    <w:rsid w:val="00B05806"/>
    <w:rsid w:val="00B11277"/>
    <w:rsid w:val="00B122D9"/>
    <w:rsid w:val="00B130B9"/>
    <w:rsid w:val="00B139F2"/>
    <w:rsid w:val="00B14EC5"/>
    <w:rsid w:val="00B14F43"/>
    <w:rsid w:val="00B15B6D"/>
    <w:rsid w:val="00B179BB"/>
    <w:rsid w:val="00B2323C"/>
    <w:rsid w:val="00B23B53"/>
    <w:rsid w:val="00B24538"/>
    <w:rsid w:val="00B24A0C"/>
    <w:rsid w:val="00B26AA6"/>
    <w:rsid w:val="00B32761"/>
    <w:rsid w:val="00B33AA1"/>
    <w:rsid w:val="00B34173"/>
    <w:rsid w:val="00B36627"/>
    <w:rsid w:val="00B3788B"/>
    <w:rsid w:val="00B400A7"/>
    <w:rsid w:val="00B41FC5"/>
    <w:rsid w:val="00B43782"/>
    <w:rsid w:val="00B47A7F"/>
    <w:rsid w:val="00B607A5"/>
    <w:rsid w:val="00B61894"/>
    <w:rsid w:val="00B61A05"/>
    <w:rsid w:val="00B6362E"/>
    <w:rsid w:val="00B74995"/>
    <w:rsid w:val="00B8679E"/>
    <w:rsid w:val="00BA372E"/>
    <w:rsid w:val="00BA3789"/>
    <w:rsid w:val="00BA3A35"/>
    <w:rsid w:val="00BA402B"/>
    <w:rsid w:val="00BB2A6D"/>
    <w:rsid w:val="00BB4FCF"/>
    <w:rsid w:val="00BC1E3A"/>
    <w:rsid w:val="00BC21D2"/>
    <w:rsid w:val="00BC785D"/>
    <w:rsid w:val="00BD0E06"/>
    <w:rsid w:val="00BD1534"/>
    <w:rsid w:val="00BD69C0"/>
    <w:rsid w:val="00BE31AA"/>
    <w:rsid w:val="00BE7AA5"/>
    <w:rsid w:val="00BF37A4"/>
    <w:rsid w:val="00C00B7B"/>
    <w:rsid w:val="00C03E11"/>
    <w:rsid w:val="00C05208"/>
    <w:rsid w:val="00C06F6F"/>
    <w:rsid w:val="00C13781"/>
    <w:rsid w:val="00C13C90"/>
    <w:rsid w:val="00C14D97"/>
    <w:rsid w:val="00C17253"/>
    <w:rsid w:val="00C20E92"/>
    <w:rsid w:val="00C2399D"/>
    <w:rsid w:val="00C249F0"/>
    <w:rsid w:val="00C37F79"/>
    <w:rsid w:val="00C402B8"/>
    <w:rsid w:val="00C4430D"/>
    <w:rsid w:val="00C45001"/>
    <w:rsid w:val="00C5601D"/>
    <w:rsid w:val="00C63760"/>
    <w:rsid w:val="00C63D7F"/>
    <w:rsid w:val="00C70696"/>
    <w:rsid w:val="00C82A7B"/>
    <w:rsid w:val="00C8724E"/>
    <w:rsid w:val="00C9015B"/>
    <w:rsid w:val="00C92722"/>
    <w:rsid w:val="00C93110"/>
    <w:rsid w:val="00CA011A"/>
    <w:rsid w:val="00CA0FEE"/>
    <w:rsid w:val="00CA1DE9"/>
    <w:rsid w:val="00CA3438"/>
    <w:rsid w:val="00CA7E6C"/>
    <w:rsid w:val="00CB0E3F"/>
    <w:rsid w:val="00CB18CA"/>
    <w:rsid w:val="00CB6BB0"/>
    <w:rsid w:val="00CB71C4"/>
    <w:rsid w:val="00CB7471"/>
    <w:rsid w:val="00CB7DAC"/>
    <w:rsid w:val="00CC0CE7"/>
    <w:rsid w:val="00CC0D8E"/>
    <w:rsid w:val="00CC0FDF"/>
    <w:rsid w:val="00CC2C92"/>
    <w:rsid w:val="00CC3C3F"/>
    <w:rsid w:val="00CC71D0"/>
    <w:rsid w:val="00CD0CE1"/>
    <w:rsid w:val="00CD1945"/>
    <w:rsid w:val="00CD1B99"/>
    <w:rsid w:val="00CD3EE0"/>
    <w:rsid w:val="00CD4781"/>
    <w:rsid w:val="00CD6501"/>
    <w:rsid w:val="00CE3CC4"/>
    <w:rsid w:val="00CE607B"/>
    <w:rsid w:val="00CF1FDA"/>
    <w:rsid w:val="00CF37FD"/>
    <w:rsid w:val="00CF3B40"/>
    <w:rsid w:val="00CF4CDC"/>
    <w:rsid w:val="00D0029E"/>
    <w:rsid w:val="00D032E1"/>
    <w:rsid w:val="00D051C4"/>
    <w:rsid w:val="00D106DE"/>
    <w:rsid w:val="00D11BC8"/>
    <w:rsid w:val="00D12429"/>
    <w:rsid w:val="00D133E9"/>
    <w:rsid w:val="00D16916"/>
    <w:rsid w:val="00D24121"/>
    <w:rsid w:val="00D31EE4"/>
    <w:rsid w:val="00D3613F"/>
    <w:rsid w:val="00D505C1"/>
    <w:rsid w:val="00D5444D"/>
    <w:rsid w:val="00D548C2"/>
    <w:rsid w:val="00D559AD"/>
    <w:rsid w:val="00D60F9D"/>
    <w:rsid w:val="00D63B5A"/>
    <w:rsid w:val="00D66ECE"/>
    <w:rsid w:val="00D67168"/>
    <w:rsid w:val="00D67AAA"/>
    <w:rsid w:val="00D67B12"/>
    <w:rsid w:val="00D72721"/>
    <w:rsid w:val="00D81C2E"/>
    <w:rsid w:val="00D92400"/>
    <w:rsid w:val="00DA24C6"/>
    <w:rsid w:val="00DA53DF"/>
    <w:rsid w:val="00DA67B1"/>
    <w:rsid w:val="00DB303A"/>
    <w:rsid w:val="00DC0366"/>
    <w:rsid w:val="00DC0D56"/>
    <w:rsid w:val="00DC16AE"/>
    <w:rsid w:val="00DC206C"/>
    <w:rsid w:val="00DD2B5E"/>
    <w:rsid w:val="00DE1E07"/>
    <w:rsid w:val="00DE228A"/>
    <w:rsid w:val="00DE40A1"/>
    <w:rsid w:val="00DE7637"/>
    <w:rsid w:val="00DF04F5"/>
    <w:rsid w:val="00DF37AB"/>
    <w:rsid w:val="00E00411"/>
    <w:rsid w:val="00E11861"/>
    <w:rsid w:val="00E11C43"/>
    <w:rsid w:val="00E121E8"/>
    <w:rsid w:val="00E20088"/>
    <w:rsid w:val="00E26354"/>
    <w:rsid w:val="00E30201"/>
    <w:rsid w:val="00E30B2B"/>
    <w:rsid w:val="00E31E7F"/>
    <w:rsid w:val="00E346D1"/>
    <w:rsid w:val="00E350A3"/>
    <w:rsid w:val="00E37D7F"/>
    <w:rsid w:val="00E417E1"/>
    <w:rsid w:val="00E45F21"/>
    <w:rsid w:val="00E46BD5"/>
    <w:rsid w:val="00E47DB4"/>
    <w:rsid w:val="00E54601"/>
    <w:rsid w:val="00E56C5C"/>
    <w:rsid w:val="00E6076C"/>
    <w:rsid w:val="00E66C2E"/>
    <w:rsid w:val="00E66EC6"/>
    <w:rsid w:val="00E7679B"/>
    <w:rsid w:val="00E81950"/>
    <w:rsid w:val="00E81F6F"/>
    <w:rsid w:val="00E82E4F"/>
    <w:rsid w:val="00E8542B"/>
    <w:rsid w:val="00E87C32"/>
    <w:rsid w:val="00E91C49"/>
    <w:rsid w:val="00E943EB"/>
    <w:rsid w:val="00E953D3"/>
    <w:rsid w:val="00EA3519"/>
    <w:rsid w:val="00EA45CF"/>
    <w:rsid w:val="00EA475F"/>
    <w:rsid w:val="00EA5CCC"/>
    <w:rsid w:val="00EA79E3"/>
    <w:rsid w:val="00EB264D"/>
    <w:rsid w:val="00EB47DF"/>
    <w:rsid w:val="00EB5B6D"/>
    <w:rsid w:val="00EB7A3A"/>
    <w:rsid w:val="00EC0546"/>
    <w:rsid w:val="00EC1469"/>
    <w:rsid w:val="00EC537A"/>
    <w:rsid w:val="00EC5E3D"/>
    <w:rsid w:val="00ED2811"/>
    <w:rsid w:val="00ED4734"/>
    <w:rsid w:val="00ED5C9C"/>
    <w:rsid w:val="00ED6133"/>
    <w:rsid w:val="00ED6437"/>
    <w:rsid w:val="00ED6661"/>
    <w:rsid w:val="00EE0501"/>
    <w:rsid w:val="00EE3F93"/>
    <w:rsid w:val="00EE49D9"/>
    <w:rsid w:val="00EE5053"/>
    <w:rsid w:val="00EE564E"/>
    <w:rsid w:val="00EE5BDA"/>
    <w:rsid w:val="00EE60D7"/>
    <w:rsid w:val="00EE6FB6"/>
    <w:rsid w:val="00EF2548"/>
    <w:rsid w:val="00EF66F3"/>
    <w:rsid w:val="00F077D8"/>
    <w:rsid w:val="00F1181A"/>
    <w:rsid w:val="00F127B6"/>
    <w:rsid w:val="00F1634B"/>
    <w:rsid w:val="00F1683C"/>
    <w:rsid w:val="00F23319"/>
    <w:rsid w:val="00F26B47"/>
    <w:rsid w:val="00F31695"/>
    <w:rsid w:val="00F37379"/>
    <w:rsid w:val="00F37398"/>
    <w:rsid w:val="00F4135B"/>
    <w:rsid w:val="00F4234D"/>
    <w:rsid w:val="00F43996"/>
    <w:rsid w:val="00F441A7"/>
    <w:rsid w:val="00F46AE6"/>
    <w:rsid w:val="00F46D36"/>
    <w:rsid w:val="00F5341B"/>
    <w:rsid w:val="00F53E0B"/>
    <w:rsid w:val="00F60F27"/>
    <w:rsid w:val="00F6198B"/>
    <w:rsid w:val="00F63390"/>
    <w:rsid w:val="00F64685"/>
    <w:rsid w:val="00F72FE2"/>
    <w:rsid w:val="00F73303"/>
    <w:rsid w:val="00F73B26"/>
    <w:rsid w:val="00F7470F"/>
    <w:rsid w:val="00F74A70"/>
    <w:rsid w:val="00F75BEF"/>
    <w:rsid w:val="00F9280B"/>
    <w:rsid w:val="00F932B1"/>
    <w:rsid w:val="00F965D6"/>
    <w:rsid w:val="00FA0AA2"/>
    <w:rsid w:val="00FA3011"/>
    <w:rsid w:val="00FA305F"/>
    <w:rsid w:val="00FB0A51"/>
    <w:rsid w:val="00FB2757"/>
    <w:rsid w:val="00FB3688"/>
    <w:rsid w:val="00FB3CC4"/>
    <w:rsid w:val="00FB3F47"/>
    <w:rsid w:val="00FB4737"/>
    <w:rsid w:val="00FB5241"/>
    <w:rsid w:val="00FB78A1"/>
    <w:rsid w:val="00FB7995"/>
    <w:rsid w:val="00FC01A2"/>
    <w:rsid w:val="00FC2CC0"/>
    <w:rsid w:val="00FC38D3"/>
    <w:rsid w:val="00FC55B2"/>
    <w:rsid w:val="00FD11FF"/>
    <w:rsid w:val="00FD23B7"/>
    <w:rsid w:val="00FD3DA7"/>
    <w:rsid w:val="00FD41BA"/>
    <w:rsid w:val="00FD6EDD"/>
    <w:rsid w:val="00FD7575"/>
    <w:rsid w:val="00FE29A7"/>
    <w:rsid w:val="00FF20C5"/>
    <w:rsid w:val="00FF3337"/>
    <w:rsid w:val="00FF5432"/>
    <w:rsid w:val="00FF5D0A"/>
    <w:rsid w:val="00FF6D8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0C9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C2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5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55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6468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9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48F"/>
    <w:rPr>
      <w:b/>
      <w:bCs/>
      <w:lang w:eastAsia="en-US"/>
    </w:rPr>
  </w:style>
  <w:style w:type="paragraph" w:styleId="NormalWeb">
    <w:name w:val="Normal (Web)"/>
    <w:basedOn w:val="Normal"/>
    <w:uiPriority w:val="99"/>
    <w:rsid w:val="00840015"/>
    <w:pPr>
      <w:spacing w:beforeLines="1" w:afterLines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5FC0C-6D97-44B0-9EA0-E8FB0B559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50240-834B-4501-B4D4-88CB6DEDE909}"/>
</file>

<file path=customXml/itemProps3.xml><?xml version="1.0" encoding="utf-8"?>
<ds:datastoreItem xmlns:ds="http://schemas.openxmlformats.org/officeDocument/2006/customXml" ds:itemID="{2F0609EF-F697-48DB-9BA9-B57F06B2C4ED}"/>
</file>

<file path=customXml/itemProps4.xml><?xml version="1.0" encoding="utf-8"?>
<ds:datastoreItem xmlns:ds="http://schemas.openxmlformats.org/officeDocument/2006/customXml" ds:itemID="{C5BC0AF2-5313-4C7E-9690-AD232E339B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18</cp:revision>
  <cp:lastPrinted>2018-06-11T16:08:00Z</cp:lastPrinted>
  <dcterms:created xsi:type="dcterms:W3CDTF">2020-08-31T19:27:00Z</dcterms:created>
  <dcterms:modified xsi:type="dcterms:W3CDTF">2021-01-08T15:33:00Z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