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DE44" w14:textId="77777777" w:rsidR="00612FE5" w:rsidRPr="00A75A12" w:rsidRDefault="00DF37AB" w:rsidP="00A862A4">
      <w:pPr>
        <w:spacing w:after="0"/>
        <w:contextualSpacing/>
        <w:jc w:val="right"/>
        <w:rPr>
          <w:rFonts w:ascii="Arial" w:hAnsi="Arial" w:cs="Arial"/>
        </w:rPr>
      </w:pPr>
      <w:r>
        <w:rPr>
          <w:rFonts w:ascii="Arial" w:hAnsi="Arial" w:cs="Arial"/>
          <w:noProof/>
          <w:lang w:eastAsia="en-GB"/>
        </w:rPr>
        <w:drawing>
          <wp:inline distT="0" distB="0" distL="0" distR="0" wp14:anchorId="64A68175" wp14:editId="62C14E2D">
            <wp:extent cx="2156460" cy="822960"/>
            <wp:effectExtent l="0" t="0" r="0" b="0"/>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11" cstate="print">
                      <a:extLst>
                        <a:ext uri="{28A0092B-C50C-407E-A947-70E740481C1C}">
                          <a14:useLocalDpi xmlns:a14="http://schemas.microsoft.com/office/drawing/2010/main" val="0"/>
                        </a:ext>
                      </a:extLst>
                    </a:blip>
                    <a:srcRect t="16280" b="20930"/>
                    <a:stretch>
                      <a:fillRect/>
                    </a:stretch>
                  </pic:blipFill>
                  <pic:spPr bwMode="auto">
                    <a:xfrm>
                      <a:off x="0" y="0"/>
                      <a:ext cx="2156460" cy="822960"/>
                    </a:xfrm>
                    <a:prstGeom prst="rect">
                      <a:avLst/>
                    </a:prstGeom>
                    <a:noFill/>
                    <a:ln>
                      <a:noFill/>
                    </a:ln>
                  </pic:spPr>
                </pic:pic>
              </a:graphicData>
            </a:graphic>
          </wp:inline>
        </w:drawing>
      </w:r>
    </w:p>
    <w:p w14:paraId="48A59C89" w14:textId="77777777" w:rsidR="00A862A4" w:rsidRPr="00CC3C3F" w:rsidRDefault="00A862A4" w:rsidP="000E4EA9">
      <w:pPr>
        <w:spacing w:after="0" w:line="240" w:lineRule="auto"/>
        <w:contextualSpacing/>
        <w:rPr>
          <w:rFonts w:cs="Calibri"/>
          <w:b/>
          <w:sz w:val="24"/>
          <w:szCs w:val="24"/>
        </w:rPr>
      </w:pPr>
    </w:p>
    <w:p w14:paraId="147318B3" w14:textId="77777777" w:rsidR="00A862A4" w:rsidRPr="00C63760" w:rsidRDefault="00902E65" w:rsidP="00D31606">
      <w:pPr>
        <w:spacing w:after="0" w:line="240" w:lineRule="auto"/>
        <w:contextualSpacing/>
        <w:outlineLvl w:val="0"/>
        <w:rPr>
          <w:rFonts w:asciiTheme="minorHAnsi" w:hAnsiTheme="minorHAnsi" w:cs="Calibri"/>
          <w:b/>
        </w:rPr>
      </w:pPr>
      <w:r w:rsidRPr="00C63760">
        <w:rPr>
          <w:rFonts w:asciiTheme="minorHAnsi" w:hAnsiTheme="minorHAnsi" w:cs="Calibri"/>
          <w:b/>
        </w:rPr>
        <w:t>UNIVERSITY COURT</w:t>
      </w:r>
    </w:p>
    <w:p w14:paraId="1E875835" w14:textId="77777777" w:rsidR="00A862A4" w:rsidRPr="00C63760" w:rsidRDefault="00A862A4" w:rsidP="00D31606">
      <w:pPr>
        <w:spacing w:after="0" w:line="240" w:lineRule="auto"/>
        <w:contextualSpacing/>
        <w:outlineLvl w:val="0"/>
        <w:rPr>
          <w:rFonts w:asciiTheme="minorHAnsi" w:hAnsiTheme="minorHAnsi" w:cs="Calibri"/>
          <w:b/>
        </w:rPr>
      </w:pPr>
    </w:p>
    <w:p w14:paraId="494FA02D" w14:textId="77777777" w:rsidR="00504C69" w:rsidRPr="00C63760" w:rsidRDefault="00504C69" w:rsidP="00D31606">
      <w:pPr>
        <w:spacing w:after="0" w:line="240" w:lineRule="auto"/>
        <w:contextualSpacing/>
        <w:outlineLvl w:val="0"/>
        <w:rPr>
          <w:rFonts w:asciiTheme="minorHAnsi" w:hAnsiTheme="minorHAnsi" w:cs="Calibri"/>
          <w:b/>
        </w:rPr>
      </w:pPr>
      <w:r w:rsidRPr="00C63760">
        <w:rPr>
          <w:rFonts w:asciiTheme="minorHAnsi" w:hAnsiTheme="minorHAnsi" w:cs="Calibri"/>
          <w:b/>
        </w:rPr>
        <w:t xml:space="preserve">Minutes of the meeting held on </w:t>
      </w:r>
      <w:r w:rsidR="00E37D7F">
        <w:rPr>
          <w:rFonts w:asciiTheme="minorHAnsi" w:hAnsiTheme="minorHAnsi" w:cs="Calibri"/>
          <w:b/>
        </w:rPr>
        <w:t>17 June</w:t>
      </w:r>
      <w:r w:rsidR="00A35064" w:rsidRPr="00C63760">
        <w:rPr>
          <w:rFonts w:asciiTheme="minorHAnsi" w:hAnsiTheme="minorHAnsi" w:cs="Calibri"/>
          <w:b/>
        </w:rPr>
        <w:t xml:space="preserve"> </w:t>
      </w:r>
      <w:r w:rsidR="00FB2757" w:rsidRPr="00C63760">
        <w:rPr>
          <w:rFonts w:asciiTheme="minorHAnsi" w:hAnsiTheme="minorHAnsi" w:cs="Calibri"/>
          <w:b/>
        </w:rPr>
        <w:t>201</w:t>
      </w:r>
      <w:r w:rsidR="008D62B2" w:rsidRPr="00C63760">
        <w:rPr>
          <w:rFonts w:asciiTheme="minorHAnsi" w:hAnsiTheme="minorHAnsi" w:cs="Calibri"/>
          <w:b/>
        </w:rPr>
        <w:t>9</w:t>
      </w:r>
    </w:p>
    <w:p w14:paraId="0EC0BDA9" w14:textId="77777777" w:rsidR="00504C69" w:rsidRPr="00C63760" w:rsidRDefault="00504C69" w:rsidP="000E4EA9">
      <w:pPr>
        <w:spacing w:after="0" w:line="240" w:lineRule="auto"/>
        <w:contextualSpacing/>
        <w:rPr>
          <w:rFonts w:asciiTheme="minorHAnsi" w:hAnsiTheme="minorHAnsi" w:cs="Calibri"/>
        </w:rPr>
      </w:pPr>
    </w:p>
    <w:p w14:paraId="1338B1AC" w14:textId="77777777" w:rsidR="009C491C" w:rsidRPr="00C63760" w:rsidRDefault="009C491C" w:rsidP="000E4EA9">
      <w:pPr>
        <w:spacing w:after="0" w:line="240" w:lineRule="auto"/>
        <w:ind w:left="2127" w:hanging="2127"/>
        <w:contextualSpacing/>
        <w:jc w:val="both"/>
        <w:rPr>
          <w:rFonts w:asciiTheme="minorHAnsi" w:hAnsiTheme="minorHAnsi" w:cs="Calibri"/>
        </w:rPr>
      </w:pPr>
      <w:r w:rsidRPr="00C63760">
        <w:rPr>
          <w:rFonts w:asciiTheme="minorHAnsi" w:hAnsiTheme="minorHAnsi" w:cs="Calibri"/>
          <w:b/>
        </w:rPr>
        <w:t>Present:</w:t>
      </w:r>
      <w:r w:rsidRPr="00C63760">
        <w:rPr>
          <w:rFonts w:asciiTheme="minorHAnsi" w:hAnsiTheme="minorHAnsi" w:cs="Calibri"/>
        </w:rPr>
        <w:tab/>
        <w:t>Mr H Adam</w:t>
      </w:r>
      <w:r w:rsidR="00E37D7F">
        <w:rPr>
          <w:rFonts w:asciiTheme="minorHAnsi" w:hAnsiTheme="minorHAnsi" w:cs="Calibri"/>
        </w:rPr>
        <w:t xml:space="preserve"> (Chair)</w:t>
      </w:r>
      <w:r w:rsidRPr="00C63760">
        <w:rPr>
          <w:rFonts w:asciiTheme="minorHAnsi" w:hAnsiTheme="minorHAnsi" w:cs="Calibri"/>
        </w:rPr>
        <w:t xml:space="preserve">, </w:t>
      </w:r>
      <w:r w:rsidR="00E37D7F">
        <w:rPr>
          <w:rFonts w:asciiTheme="minorHAnsi" w:hAnsiTheme="minorHAnsi" w:cs="Calibri"/>
        </w:rPr>
        <w:t xml:space="preserve">Mr S Anderson, Mr N Acquah, </w:t>
      </w:r>
      <w:r w:rsidRPr="00C63760">
        <w:rPr>
          <w:rFonts w:asciiTheme="minorHAnsi" w:hAnsiTheme="minorHAnsi" w:cs="Calibri"/>
        </w:rPr>
        <w:t xml:space="preserve">Mr J Dick, </w:t>
      </w:r>
      <w:r w:rsidR="00E37D7F" w:rsidRPr="00C63760">
        <w:rPr>
          <w:rFonts w:asciiTheme="minorHAnsi" w:hAnsiTheme="minorHAnsi" w:cs="Calibri"/>
        </w:rPr>
        <w:t>Prof J Donaldson,</w:t>
      </w:r>
      <w:r w:rsidR="00E37D7F">
        <w:rPr>
          <w:rFonts w:asciiTheme="minorHAnsi" w:hAnsiTheme="minorHAnsi" w:cs="Calibri"/>
        </w:rPr>
        <w:t xml:space="preserve"> </w:t>
      </w:r>
      <w:r w:rsidR="003B3B0C" w:rsidRPr="00C63760">
        <w:rPr>
          <w:rFonts w:asciiTheme="minorHAnsi" w:hAnsiTheme="minorHAnsi" w:cs="Calibri"/>
        </w:rPr>
        <w:t xml:space="preserve"> </w:t>
      </w:r>
      <w:r w:rsidR="00194E61" w:rsidRPr="00C63760">
        <w:rPr>
          <w:rFonts w:asciiTheme="minorHAnsi" w:hAnsiTheme="minorHAnsi" w:cs="Calibri"/>
        </w:rPr>
        <w:t xml:space="preserve">Mr H Grossart, Mr S Haldane, </w:t>
      </w:r>
      <w:r w:rsidR="003B3B0C" w:rsidRPr="00C63760">
        <w:rPr>
          <w:rFonts w:asciiTheme="minorHAnsi" w:hAnsiTheme="minorHAnsi" w:cs="Calibri"/>
        </w:rPr>
        <w:t xml:space="preserve">Prof M MacLeod, </w:t>
      </w:r>
      <w:r w:rsidR="008D62B2" w:rsidRPr="00C63760">
        <w:rPr>
          <w:rFonts w:asciiTheme="minorHAnsi" w:hAnsiTheme="minorHAnsi" w:cs="Calibri"/>
        </w:rPr>
        <w:t xml:space="preserve">Ms L Marr, </w:t>
      </w:r>
      <w:r w:rsidRPr="00C63760">
        <w:rPr>
          <w:rFonts w:asciiTheme="minorHAnsi" w:hAnsiTheme="minorHAnsi" w:cs="Calibri"/>
        </w:rPr>
        <w:t xml:space="preserve">Prof G McCormac, Ms B McKissack, Ms C Morrison, </w:t>
      </w:r>
      <w:r w:rsidR="00E37D7F">
        <w:rPr>
          <w:rFonts w:asciiTheme="minorHAnsi" w:hAnsiTheme="minorHAnsi" w:cs="Calibri"/>
        </w:rPr>
        <w:t xml:space="preserve">Mr J </w:t>
      </w:r>
      <w:proofErr w:type="spellStart"/>
      <w:r w:rsidR="00E37D7F">
        <w:rPr>
          <w:rFonts w:asciiTheme="minorHAnsi" w:hAnsiTheme="minorHAnsi" w:cs="Calibri"/>
        </w:rPr>
        <w:t>Muirhead</w:t>
      </w:r>
      <w:proofErr w:type="spellEnd"/>
      <w:r w:rsidR="00E37D7F">
        <w:rPr>
          <w:rFonts w:asciiTheme="minorHAnsi" w:hAnsiTheme="minorHAnsi" w:cs="Calibri"/>
        </w:rPr>
        <w:t>, Rev M Roderick,</w:t>
      </w:r>
      <w:r w:rsidR="00E37D7F" w:rsidRPr="00C63760">
        <w:rPr>
          <w:rFonts w:asciiTheme="minorHAnsi" w:hAnsiTheme="minorHAnsi" w:cs="Calibri"/>
        </w:rPr>
        <w:t xml:space="preserve"> </w:t>
      </w:r>
      <w:r w:rsidR="008D62B2" w:rsidRPr="00C63760">
        <w:rPr>
          <w:rFonts w:asciiTheme="minorHAnsi" w:hAnsiTheme="minorHAnsi" w:cs="Calibri"/>
        </w:rPr>
        <w:t xml:space="preserve">Councillor C Simpson, Mr A </w:t>
      </w:r>
      <w:proofErr w:type="spellStart"/>
      <w:r w:rsidR="008D62B2" w:rsidRPr="00C63760">
        <w:rPr>
          <w:rFonts w:asciiTheme="minorHAnsi" w:hAnsiTheme="minorHAnsi" w:cs="Calibri"/>
        </w:rPr>
        <w:t>Sturgess</w:t>
      </w:r>
      <w:proofErr w:type="spellEnd"/>
      <w:r w:rsidR="00317FBB">
        <w:rPr>
          <w:rFonts w:asciiTheme="minorHAnsi" w:hAnsiTheme="minorHAnsi" w:cs="Calibri"/>
        </w:rPr>
        <w:t xml:space="preserve"> </w:t>
      </w:r>
    </w:p>
    <w:p w14:paraId="0104CC95" w14:textId="77777777" w:rsidR="009C491C" w:rsidRPr="00C63760" w:rsidRDefault="009C491C" w:rsidP="000E4EA9">
      <w:pPr>
        <w:spacing w:after="0" w:line="240" w:lineRule="auto"/>
        <w:ind w:left="2127" w:hanging="2127"/>
        <w:contextualSpacing/>
        <w:jc w:val="both"/>
        <w:rPr>
          <w:rFonts w:asciiTheme="minorHAnsi" w:hAnsiTheme="minorHAnsi" w:cs="Calibri"/>
        </w:rPr>
      </w:pPr>
      <w:r w:rsidRPr="00C63760">
        <w:rPr>
          <w:rFonts w:asciiTheme="minorHAnsi" w:hAnsiTheme="minorHAnsi" w:cs="Calibri"/>
        </w:rPr>
        <w:tab/>
      </w:r>
    </w:p>
    <w:p w14:paraId="30293357" w14:textId="77777777" w:rsidR="009C491C" w:rsidRPr="00C63760" w:rsidRDefault="009C491C" w:rsidP="000E4EA9">
      <w:pPr>
        <w:spacing w:after="0" w:line="240" w:lineRule="auto"/>
        <w:ind w:left="2127" w:hanging="2127"/>
        <w:contextualSpacing/>
        <w:jc w:val="both"/>
        <w:rPr>
          <w:rFonts w:asciiTheme="minorHAnsi" w:hAnsiTheme="minorHAnsi" w:cs="Calibri"/>
        </w:rPr>
      </w:pPr>
      <w:r w:rsidRPr="00C63760">
        <w:rPr>
          <w:rFonts w:asciiTheme="minorHAnsi" w:hAnsiTheme="minorHAnsi" w:cs="Calibri"/>
          <w:b/>
        </w:rPr>
        <w:t>In Attendance:</w:t>
      </w:r>
      <w:r w:rsidRPr="00C63760">
        <w:rPr>
          <w:rFonts w:asciiTheme="minorHAnsi" w:hAnsiTheme="minorHAnsi" w:cs="Calibri"/>
        </w:rPr>
        <w:tab/>
      </w:r>
      <w:r w:rsidR="00847885" w:rsidRPr="00C63760">
        <w:rPr>
          <w:rFonts w:asciiTheme="minorHAnsi" w:hAnsiTheme="minorHAnsi" w:cs="Calibri"/>
        </w:rPr>
        <w:t xml:space="preserve">Prof P Hancock, </w:t>
      </w:r>
      <w:r w:rsidR="00194E61" w:rsidRPr="00C63760">
        <w:rPr>
          <w:rFonts w:asciiTheme="minorHAnsi" w:hAnsiTheme="minorHAnsi" w:cs="Calibri"/>
        </w:rPr>
        <w:t xml:space="preserve">Ms J Harrison, </w:t>
      </w:r>
      <w:r w:rsidR="008D62B2" w:rsidRPr="00C63760">
        <w:rPr>
          <w:rFonts w:asciiTheme="minorHAnsi" w:hAnsiTheme="minorHAnsi" w:cs="Calibri"/>
        </w:rPr>
        <w:t xml:space="preserve">Mr G MacLeod, </w:t>
      </w:r>
      <w:r w:rsidRPr="00C63760">
        <w:rPr>
          <w:rFonts w:asciiTheme="minorHAnsi" w:hAnsiTheme="minorHAnsi" w:cs="Calibri"/>
        </w:rPr>
        <w:t xml:space="preserve">Mr L McCabe, </w:t>
      </w:r>
      <w:r w:rsidR="00194E61" w:rsidRPr="00C63760">
        <w:rPr>
          <w:rFonts w:asciiTheme="minorHAnsi" w:hAnsiTheme="minorHAnsi" w:cs="Calibri"/>
        </w:rPr>
        <w:t xml:space="preserve">Mr M McCrindle, </w:t>
      </w:r>
      <w:r w:rsidR="008D62B2" w:rsidRPr="00C63760">
        <w:rPr>
          <w:rFonts w:asciiTheme="minorHAnsi" w:hAnsiTheme="minorHAnsi" w:cs="Calibri"/>
        </w:rPr>
        <w:t xml:space="preserve">Mr C McNally, </w:t>
      </w:r>
      <w:r w:rsidRPr="00C63760">
        <w:rPr>
          <w:rFonts w:asciiTheme="minorHAnsi" w:hAnsiTheme="minorHAnsi" w:cs="Calibri"/>
        </w:rPr>
        <w:t xml:space="preserve">Ms J Morrow, Prof J Phillips, </w:t>
      </w:r>
      <w:r w:rsidR="00847885" w:rsidRPr="00C63760">
        <w:rPr>
          <w:rFonts w:asciiTheme="minorHAnsi" w:hAnsiTheme="minorHAnsi" w:cs="Calibri"/>
        </w:rPr>
        <w:t xml:space="preserve">Dr J Rogers, </w:t>
      </w:r>
      <w:r w:rsidRPr="00C63760">
        <w:rPr>
          <w:rFonts w:asciiTheme="minorHAnsi" w:hAnsiTheme="minorHAnsi" w:cs="Calibri"/>
        </w:rPr>
        <w:t xml:space="preserve">Ms E Schofield, Prof L Sparks, Mr L Spillane, </w:t>
      </w:r>
      <w:r w:rsidR="008D62B2" w:rsidRPr="00C63760">
        <w:rPr>
          <w:rFonts w:asciiTheme="minorHAnsi" w:hAnsiTheme="minorHAnsi" w:cs="Calibri"/>
        </w:rPr>
        <w:t>Ms F Wheater (Clerk), Prof N Wylie, Dr L Zhuang</w:t>
      </w:r>
    </w:p>
    <w:p w14:paraId="37A367D3" w14:textId="77777777" w:rsidR="009C491C" w:rsidRPr="00C63760" w:rsidRDefault="009C491C" w:rsidP="000E4EA9">
      <w:pPr>
        <w:spacing w:after="0" w:line="240" w:lineRule="auto"/>
        <w:contextualSpacing/>
        <w:rPr>
          <w:rFonts w:asciiTheme="minorHAnsi" w:hAnsiTheme="minorHAnsi" w:cs="Calibri"/>
        </w:rPr>
      </w:pPr>
    </w:p>
    <w:p w14:paraId="12D2D91E" w14:textId="77777777" w:rsidR="009C491C" w:rsidRPr="00C63760" w:rsidRDefault="009C491C" w:rsidP="000E4EA9">
      <w:pPr>
        <w:spacing w:after="0" w:line="240" w:lineRule="auto"/>
        <w:ind w:left="2127" w:hanging="2127"/>
        <w:contextualSpacing/>
        <w:jc w:val="both"/>
        <w:rPr>
          <w:rFonts w:asciiTheme="minorHAnsi" w:hAnsiTheme="minorHAnsi" w:cs="Calibri"/>
        </w:rPr>
      </w:pPr>
      <w:r w:rsidRPr="00C63760">
        <w:rPr>
          <w:rFonts w:asciiTheme="minorHAnsi" w:hAnsiTheme="minorHAnsi" w:cs="Calibri"/>
          <w:b/>
        </w:rPr>
        <w:t>Apologies:</w:t>
      </w:r>
      <w:r w:rsidRPr="00C63760">
        <w:rPr>
          <w:rFonts w:asciiTheme="minorHAnsi" w:hAnsiTheme="minorHAnsi" w:cs="Calibri"/>
          <w:b/>
        </w:rPr>
        <w:tab/>
      </w:r>
      <w:r w:rsidR="00E37D7F" w:rsidRPr="00C63760">
        <w:rPr>
          <w:rFonts w:asciiTheme="minorHAnsi" w:hAnsiTheme="minorHAnsi" w:cs="Calibri"/>
        </w:rPr>
        <w:t xml:space="preserve">Prof A Green, </w:t>
      </w:r>
      <w:r w:rsidR="00317FBB" w:rsidRPr="00C63760">
        <w:rPr>
          <w:rFonts w:asciiTheme="minorHAnsi" w:hAnsiTheme="minorHAnsi" w:cs="Calibri"/>
        </w:rPr>
        <w:t>M</w:t>
      </w:r>
      <w:r w:rsidR="00E37D7F">
        <w:rPr>
          <w:rFonts w:asciiTheme="minorHAnsi" w:hAnsiTheme="minorHAnsi" w:cs="Calibri"/>
        </w:rPr>
        <w:t>s F Sandford</w:t>
      </w:r>
      <w:r w:rsidR="00317FBB" w:rsidRPr="00C63760">
        <w:rPr>
          <w:rFonts w:asciiTheme="minorHAnsi" w:hAnsiTheme="minorHAnsi" w:cs="Calibri"/>
        </w:rPr>
        <w:t xml:space="preserve">, </w:t>
      </w:r>
      <w:r w:rsidR="00DC0366" w:rsidRPr="00C63760">
        <w:rPr>
          <w:rFonts w:asciiTheme="minorHAnsi" w:hAnsiTheme="minorHAnsi" w:cs="Calibri"/>
        </w:rPr>
        <w:t xml:space="preserve">Prof H Nehring, </w:t>
      </w:r>
    </w:p>
    <w:p w14:paraId="3DE00C65" w14:textId="77777777" w:rsidR="00EA5CCC" w:rsidRPr="00DC0366" w:rsidRDefault="00EA5CCC" w:rsidP="000E4EA9">
      <w:pPr>
        <w:spacing w:after="0" w:line="240" w:lineRule="auto"/>
        <w:ind w:left="2127" w:hanging="2127"/>
        <w:contextualSpacing/>
        <w:jc w:val="both"/>
        <w:rPr>
          <w:rFonts w:asciiTheme="minorHAnsi" w:hAnsiTheme="minorHAnsi" w:cs="Calibri"/>
          <w:b/>
        </w:rPr>
      </w:pPr>
    </w:p>
    <w:p w14:paraId="574856E2" w14:textId="77777777" w:rsidR="00E37D7F" w:rsidRDefault="00B139F2" w:rsidP="00847DF5">
      <w:pPr>
        <w:spacing w:after="0" w:line="240" w:lineRule="auto"/>
        <w:contextualSpacing/>
        <w:jc w:val="both"/>
        <w:rPr>
          <w:rFonts w:asciiTheme="minorHAnsi" w:hAnsiTheme="minorHAnsi" w:cs="Calibri"/>
        </w:rPr>
      </w:pPr>
      <w:r w:rsidRPr="00DC0366">
        <w:rPr>
          <w:rFonts w:asciiTheme="minorHAnsi" w:hAnsiTheme="minorHAnsi" w:cs="Calibri"/>
        </w:rPr>
        <w:t>Members</w:t>
      </w:r>
      <w:r w:rsidR="00DC0366" w:rsidRPr="00DC0366">
        <w:rPr>
          <w:rFonts w:asciiTheme="minorHAnsi" w:hAnsiTheme="minorHAnsi" w:cs="Calibri"/>
        </w:rPr>
        <w:t xml:space="preserve"> </w:t>
      </w:r>
      <w:r w:rsidR="00E37D7F">
        <w:rPr>
          <w:rFonts w:asciiTheme="minorHAnsi" w:hAnsiTheme="minorHAnsi" w:cs="Calibri"/>
        </w:rPr>
        <w:t xml:space="preserve">welcomed Nelson Acquah, Union President and Joshua </w:t>
      </w:r>
      <w:proofErr w:type="spellStart"/>
      <w:r w:rsidR="00E37D7F">
        <w:rPr>
          <w:rFonts w:asciiTheme="minorHAnsi" w:hAnsiTheme="minorHAnsi" w:cs="Calibri"/>
        </w:rPr>
        <w:t>Muirhead</w:t>
      </w:r>
      <w:proofErr w:type="spellEnd"/>
      <w:r w:rsidR="00E37D7F">
        <w:rPr>
          <w:rFonts w:asciiTheme="minorHAnsi" w:hAnsiTheme="minorHAnsi" w:cs="Calibri"/>
        </w:rPr>
        <w:t>, Vice-President of the Students’ Union to their first meeting of Court.</w:t>
      </w:r>
      <w:r w:rsidR="00015FBD">
        <w:rPr>
          <w:rFonts w:asciiTheme="minorHAnsi" w:hAnsiTheme="minorHAnsi" w:cs="Calibri"/>
        </w:rPr>
        <w:t xml:space="preserve">  [Note: </w:t>
      </w:r>
      <w:r w:rsidR="000B02EA">
        <w:rPr>
          <w:rFonts w:asciiTheme="minorHAnsi" w:hAnsiTheme="minorHAnsi" w:cs="Calibri"/>
        </w:rPr>
        <w:t xml:space="preserve">Item 20 was brought forward on the agenda to </w:t>
      </w:r>
      <w:r w:rsidR="000B02EA" w:rsidRPr="000B02EA">
        <w:rPr>
          <w:rFonts w:asciiTheme="minorHAnsi" w:hAnsiTheme="minorHAnsi" w:cs="Calibri"/>
          <w:b/>
        </w:rPr>
        <w:t>approve</w:t>
      </w:r>
      <w:r w:rsidR="000B02EA">
        <w:rPr>
          <w:rFonts w:asciiTheme="minorHAnsi" w:hAnsiTheme="minorHAnsi" w:cs="Calibri"/>
        </w:rPr>
        <w:t xml:space="preserve"> the membership of these two individuals in advance of the meeting starting</w:t>
      </w:r>
      <w:r w:rsidR="00015FBD">
        <w:rPr>
          <w:rFonts w:asciiTheme="minorHAnsi" w:hAnsiTheme="minorHAnsi" w:cs="Calibri"/>
        </w:rPr>
        <w:t>].</w:t>
      </w:r>
    </w:p>
    <w:p w14:paraId="0D39EDED" w14:textId="77777777" w:rsidR="00847DF5" w:rsidRPr="00DC0366" w:rsidRDefault="00847DF5" w:rsidP="00B139F2">
      <w:pPr>
        <w:spacing w:after="0" w:line="240" w:lineRule="auto"/>
        <w:contextualSpacing/>
        <w:rPr>
          <w:rFonts w:asciiTheme="minorHAnsi" w:hAnsiTheme="minorHAnsi" w:cs="Calibri"/>
        </w:rPr>
      </w:pPr>
    </w:p>
    <w:p w14:paraId="02695E11" w14:textId="77777777" w:rsidR="00AC707F" w:rsidRPr="00C63760" w:rsidRDefault="00AC707F" w:rsidP="000E4EA9">
      <w:pPr>
        <w:tabs>
          <w:tab w:val="left" w:pos="709"/>
          <w:tab w:val="right" w:pos="9072"/>
        </w:tabs>
        <w:spacing w:after="0" w:line="240" w:lineRule="auto"/>
        <w:contextualSpacing/>
        <w:rPr>
          <w:rFonts w:asciiTheme="minorHAnsi" w:hAnsiTheme="minorHAnsi" w:cs="Calibri"/>
          <w:b/>
        </w:rPr>
      </w:pPr>
      <w:r w:rsidRPr="00C63760">
        <w:rPr>
          <w:rFonts w:asciiTheme="minorHAnsi" w:hAnsiTheme="minorHAnsi" w:cs="Calibri"/>
          <w:b/>
        </w:rPr>
        <w:t>1.</w:t>
      </w:r>
      <w:r w:rsidRPr="00C63760">
        <w:rPr>
          <w:rFonts w:asciiTheme="minorHAnsi" w:hAnsiTheme="minorHAnsi" w:cs="Calibri"/>
          <w:b/>
        </w:rPr>
        <w:tab/>
        <w:t>DECLARATIONS OF INTEREST</w:t>
      </w:r>
      <w:r w:rsidRPr="00C63760">
        <w:rPr>
          <w:rFonts w:asciiTheme="minorHAnsi" w:hAnsiTheme="minorHAnsi" w:cs="Calibri"/>
          <w:b/>
        </w:rPr>
        <w:tab/>
      </w:r>
    </w:p>
    <w:p w14:paraId="1F4A51CC" w14:textId="77777777" w:rsidR="00AC707F" w:rsidRPr="00C63760" w:rsidRDefault="00717AF4" w:rsidP="000E4EA9">
      <w:pPr>
        <w:spacing w:after="0" w:line="240" w:lineRule="auto"/>
        <w:ind w:left="709"/>
        <w:contextualSpacing/>
        <w:jc w:val="both"/>
        <w:rPr>
          <w:rFonts w:asciiTheme="minorHAnsi" w:hAnsiTheme="minorHAnsi" w:cs="Calibri"/>
        </w:rPr>
      </w:pPr>
      <w:r w:rsidRPr="00C63760">
        <w:rPr>
          <w:rFonts w:asciiTheme="minorHAnsi" w:hAnsiTheme="minorHAnsi" w:cs="Calibri"/>
        </w:rPr>
        <w:t>There were no declarations of interest</w:t>
      </w:r>
      <w:r w:rsidR="00B139F2" w:rsidRPr="00C63760">
        <w:rPr>
          <w:rFonts w:asciiTheme="minorHAnsi" w:hAnsiTheme="minorHAnsi" w:cs="Calibri"/>
        </w:rPr>
        <w:t>.</w:t>
      </w:r>
      <w:r w:rsidR="00AC707F" w:rsidRPr="00C63760">
        <w:rPr>
          <w:rFonts w:asciiTheme="minorHAnsi" w:hAnsiTheme="minorHAnsi" w:cs="Calibri"/>
        </w:rPr>
        <w:t xml:space="preserve"> </w:t>
      </w:r>
    </w:p>
    <w:p w14:paraId="0130CB9E" w14:textId="77777777" w:rsidR="00AC707F" w:rsidRPr="00C63760" w:rsidRDefault="00AC707F" w:rsidP="000E4EA9">
      <w:pPr>
        <w:tabs>
          <w:tab w:val="left" w:pos="709"/>
          <w:tab w:val="right" w:pos="9072"/>
        </w:tabs>
        <w:spacing w:after="0" w:line="240" w:lineRule="auto"/>
        <w:contextualSpacing/>
        <w:rPr>
          <w:rFonts w:asciiTheme="minorHAnsi" w:hAnsiTheme="minorHAnsi" w:cs="Calibri"/>
          <w:b/>
        </w:rPr>
      </w:pPr>
    </w:p>
    <w:p w14:paraId="480021F9" w14:textId="77777777" w:rsidR="00AC707F" w:rsidRPr="00C63760" w:rsidRDefault="00AC707F" w:rsidP="000E4EA9">
      <w:pPr>
        <w:tabs>
          <w:tab w:val="left" w:pos="709"/>
          <w:tab w:val="right" w:pos="9072"/>
        </w:tabs>
        <w:spacing w:after="0" w:line="240" w:lineRule="auto"/>
        <w:contextualSpacing/>
        <w:rPr>
          <w:rFonts w:asciiTheme="minorHAnsi" w:hAnsiTheme="minorHAnsi" w:cs="Calibri"/>
          <w:b/>
        </w:rPr>
      </w:pPr>
      <w:r w:rsidRPr="00C63760">
        <w:rPr>
          <w:rFonts w:asciiTheme="minorHAnsi" w:hAnsiTheme="minorHAnsi" w:cs="Calibri"/>
          <w:b/>
        </w:rPr>
        <w:t>2.</w:t>
      </w:r>
      <w:r w:rsidRPr="00C63760">
        <w:rPr>
          <w:rFonts w:asciiTheme="minorHAnsi" w:hAnsiTheme="minorHAnsi" w:cs="Calibri"/>
          <w:b/>
        </w:rPr>
        <w:tab/>
        <w:t>MINUTES</w:t>
      </w:r>
      <w:r w:rsidRPr="00C63760">
        <w:rPr>
          <w:rFonts w:asciiTheme="minorHAnsi" w:hAnsiTheme="minorHAnsi" w:cs="Calibri"/>
          <w:b/>
        </w:rPr>
        <w:tab/>
      </w:r>
      <w:proofErr w:type="gramStart"/>
      <w:r w:rsidRPr="00C63760">
        <w:rPr>
          <w:rFonts w:asciiTheme="minorHAnsi" w:hAnsiTheme="minorHAnsi" w:cs="Calibri"/>
          <w:b/>
        </w:rPr>
        <w:t>UC(</w:t>
      </w:r>
      <w:proofErr w:type="gramEnd"/>
      <w:r w:rsidRPr="00C63760">
        <w:rPr>
          <w:rFonts w:asciiTheme="minorHAnsi" w:hAnsiTheme="minorHAnsi" w:cs="Calibri"/>
          <w:b/>
        </w:rPr>
        <w:t>1</w:t>
      </w:r>
      <w:r w:rsidR="00C63760" w:rsidRPr="00C63760">
        <w:rPr>
          <w:rFonts w:asciiTheme="minorHAnsi" w:hAnsiTheme="minorHAnsi" w:cs="Calibri"/>
          <w:b/>
        </w:rPr>
        <w:t>8</w:t>
      </w:r>
      <w:r w:rsidRPr="00C63760">
        <w:rPr>
          <w:rFonts w:asciiTheme="minorHAnsi" w:hAnsiTheme="minorHAnsi" w:cs="Calibri"/>
          <w:b/>
        </w:rPr>
        <w:t>/1</w:t>
      </w:r>
      <w:r w:rsidR="00C63760" w:rsidRPr="00C63760">
        <w:rPr>
          <w:rFonts w:asciiTheme="minorHAnsi" w:hAnsiTheme="minorHAnsi" w:cs="Calibri"/>
          <w:b/>
        </w:rPr>
        <w:t>9</w:t>
      </w:r>
      <w:r w:rsidRPr="00C63760">
        <w:rPr>
          <w:rFonts w:asciiTheme="minorHAnsi" w:hAnsiTheme="minorHAnsi" w:cs="Calibri"/>
          <w:b/>
        </w:rPr>
        <w:t xml:space="preserve">) Minutes </w:t>
      </w:r>
      <w:r w:rsidR="00E37D7F">
        <w:rPr>
          <w:rFonts w:asciiTheme="minorHAnsi" w:hAnsiTheme="minorHAnsi" w:cs="Calibri"/>
          <w:b/>
        </w:rPr>
        <w:t>3</w:t>
      </w:r>
    </w:p>
    <w:p w14:paraId="4824226D" w14:textId="77777777" w:rsidR="00AC707F" w:rsidRPr="00C63760" w:rsidRDefault="00AC707F" w:rsidP="000E4EA9">
      <w:pPr>
        <w:spacing w:after="0" w:line="240" w:lineRule="auto"/>
        <w:ind w:left="709"/>
        <w:contextualSpacing/>
        <w:jc w:val="both"/>
        <w:rPr>
          <w:rFonts w:asciiTheme="minorHAnsi" w:hAnsiTheme="minorHAnsi" w:cs="Calibri"/>
        </w:rPr>
      </w:pPr>
      <w:r w:rsidRPr="00C63760">
        <w:rPr>
          <w:rFonts w:asciiTheme="minorHAnsi" w:hAnsiTheme="minorHAnsi" w:cs="Calibri"/>
        </w:rPr>
        <w:t xml:space="preserve">The minutes of the meeting held on </w:t>
      </w:r>
      <w:r w:rsidR="00015FBD">
        <w:rPr>
          <w:rFonts w:asciiTheme="minorHAnsi" w:hAnsiTheme="minorHAnsi" w:cs="Calibri"/>
        </w:rPr>
        <w:t>25 March</w:t>
      </w:r>
      <w:r w:rsidRPr="00C63760">
        <w:rPr>
          <w:rFonts w:asciiTheme="minorHAnsi" w:hAnsiTheme="minorHAnsi" w:cs="Calibri"/>
        </w:rPr>
        <w:t xml:space="preserve"> 201</w:t>
      </w:r>
      <w:r w:rsidR="00015FBD">
        <w:rPr>
          <w:rFonts w:asciiTheme="minorHAnsi" w:hAnsiTheme="minorHAnsi" w:cs="Calibri"/>
        </w:rPr>
        <w:t>9</w:t>
      </w:r>
      <w:r w:rsidRPr="00C63760">
        <w:rPr>
          <w:rFonts w:asciiTheme="minorHAnsi" w:hAnsiTheme="minorHAnsi" w:cs="Calibri"/>
        </w:rPr>
        <w:t xml:space="preserve"> were </w:t>
      </w:r>
      <w:r w:rsidRPr="00C63760">
        <w:rPr>
          <w:rFonts w:asciiTheme="minorHAnsi" w:hAnsiTheme="minorHAnsi" w:cs="Calibri"/>
          <w:b/>
        </w:rPr>
        <w:t>approved</w:t>
      </w:r>
      <w:r w:rsidRPr="00C63760">
        <w:rPr>
          <w:rFonts w:asciiTheme="minorHAnsi" w:hAnsiTheme="minorHAnsi" w:cs="Calibri"/>
        </w:rPr>
        <w:t xml:space="preserve"> as an accurate record.</w:t>
      </w:r>
    </w:p>
    <w:p w14:paraId="2D499427" w14:textId="77777777" w:rsidR="00AC707F" w:rsidRPr="00C63760" w:rsidRDefault="00AC707F" w:rsidP="000E4EA9">
      <w:pPr>
        <w:spacing w:after="0" w:line="240" w:lineRule="auto"/>
        <w:contextualSpacing/>
        <w:rPr>
          <w:rFonts w:asciiTheme="minorHAnsi" w:hAnsiTheme="minorHAnsi" w:cs="Calibri"/>
        </w:rPr>
      </w:pPr>
    </w:p>
    <w:p w14:paraId="7AC56CDD" w14:textId="77777777" w:rsidR="00B139F2" w:rsidRPr="00DC0366" w:rsidRDefault="00B139F2" w:rsidP="00B139F2">
      <w:pPr>
        <w:tabs>
          <w:tab w:val="left" w:pos="709"/>
          <w:tab w:val="right" w:pos="9072"/>
        </w:tabs>
        <w:spacing w:after="0" w:line="240" w:lineRule="auto"/>
        <w:contextualSpacing/>
        <w:rPr>
          <w:rFonts w:asciiTheme="minorHAnsi" w:hAnsiTheme="minorHAnsi" w:cs="Calibri"/>
          <w:b/>
        </w:rPr>
      </w:pPr>
      <w:r w:rsidRPr="00DC0366">
        <w:rPr>
          <w:rFonts w:asciiTheme="minorHAnsi" w:hAnsiTheme="minorHAnsi" w:cs="Calibri"/>
          <w:b/>
        </w:rPr>
        <w:t>3.</w:t>
      </w:r>
      <w:r w:rsidRPr="00DC0366">
        <w:rPr>
          <w:rFonts w:asciiTheme="minorHAnsi" w:hAnsiTheme="minorHAnsi" w:cs="Calibri"/>
          <w:b/>
        </w:rPr>
        <w:tab/>
        <w:t>MATTERS ARISING NOT OTHERWISE ON THE AGENDA</w:t>
      </w:r>
    </w:p>
    <w:p w14:paraId="02EE4C2E" w14:textId="77777777" w:rsidR="00717AF4" w:rsidRPr="00DC0366" w:rsidRDefault="00717AF4" w:rsidP="00B139F2">
      <w:pPr>
        <w:tabs>
          <w:tab w:val="left" w:pos="709"/>
          <w:tab w:val="right" w:pos="9072"/>
        </w:tabs>
        <w:spacing w:after="0" w:line="240" w:lineRule="auto"/>
        <w:ind w:left="709"/>
        <w:contextualSpacing/>
        <w:jc w:val="both"/>
        <w:rPr>
          <w:rFonts w:asciiTheme="minorHAnsi" w:hAnsiTheme="minorHAnsi" w:cs="Calibri"/>
        </w:rPr>
      </w:pPr>
      <w:r w:rsidRPr="00DC0366">
        <w:rPr>
          <w:rFonts w:asciiTheme="minorHAnsi" w:hAnsiTheme="minorHAnsi" w:cs="Calibri"/>
        </w:rPr>
        <w:t>There were no matters arising.</w:t>
      </w:r>
    </w:p>
    <w:p w14:paraId="0AED37C9" w14:textId="77777777" w:rsidR="00AC707F" w:rsidRPr="00DC0366" w:rsidRDefault="00AC707F" w:rsidP="000E4EA9">
      <w:pPr>
        <w:tabs>
          <w:tab w:val="left" w:pos="709"/>
          <w:tab w:val="right" w:pos="9072"/>
        </w:tabs>
        <w:spacing w:after="0" w:line="240" w:lineRule="auto"/>
        <w:contextualSpacing/>
        <w:rPr>
          <w:rFonts w:asciiTheme="minorHAnsi" w:hAnsiTheme="minorHAnsi" w:cs="Calibri"/>
          <w:b/>
        </w:rPr>
      </w:pPr>
    </w:p>
    <w:p w14:paraId="4981E0E7"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4</w:t>
      </w:r>
      <w:r w:rsidRPr="00F17CE0">
        <w:rPr>
          <w:rFonts w:asciiTheme="minorHAnsi" w:hAnsiTheme="minorHAnsi" w:cs="Calibri"/>
          <w:b/>
        </w:rPr>
        <w:t>.</w:t>
      </w:r>
      <w:r w:rsidRPr="00F17CE0">
        <w:rPr>
          <w:rFonts w:asciiTheme="minorHAnsi" w:hAnsiTheme="minorHAnsi" w:cs="Calibri"/>
          <w:b/>
        </w:rPr>
        <w:tab/>
        <w:t>KEY DEVELOPMENTS IN THE EXTERNAL ENVIRONMENT</w:t>
      </w:r>
      <w:r w:rsidRPr="00F17CE0">
        <w:rPr>
          <w:rFonts w:asciiTheme="minorHAnsi" w:hAnsiTheme="minorHAnsi" w:cs="Calibri"/>
          <w:b/>
        </w:rPr>
        <w:tab/>
      </w:r>
      <w:proofErr w:type="gramStart"/>
      <w:r w:rsidRPr="00F17CE0">
        <w:rPr>
          <w:rFonts w:asciiTheme="minorHAnsi" w:hAnsiTheme="minorHAnsi" w:cs="Calibri"/>
          <w:b/>
        </w:rPr>
        <w:t>UC(</w:t>
      </w:r>
      <w:proofErr w:type="gramEnd"/>
      <w:r w:rsidRPr="00F17CE0">
        <w:rPr>
          <w:rFonts w:asciiTheme="minorHAnsi" w:hAnsiTheme="minorHAnsi" w:cs="Calibri"/>
          <w:b/>
        </w:rPr>
        <w:t>1</w:t>
      </w:r>
      <w:r>
        <w:rPr>
          <w:rFonts w:asciiTheme="minorHAnsi" w:hAnsiTheme="minorHAnsi" w:cs="Calibri"/>
          <w:b/>
        </w:rPr>
        <w:t>8</w:t>
      </w:r>
      <w:r w:rsidRPr="00F17CE0">
        <w:rPr>
          <w:rFonts w:asciiTheme="minorHAnsi" w:hAnsiTheme="minorHAnsi" w:cs="Calibri"/>
          <w:b/>
        </w:rPr>
        <w:t>/1</w:t>
      </w:r>
      <w:r>
        <w:rPr>
          <w:rFonts w:asciiTheme="minorHAnsi" w:hAnsiTheme="minorHAnsi" w:cs="Calibri"/>
          <w:b/>
        </w:rPr>
        <w:t>9</w:t>
      </w:r>
      <w:r w:rsidRPr="00F17CE0">
        <w:rPr>
          <w:rFonts w:asciiTheme="minorHAnsi" w:hAnsiTheme="minorHAnsi" w:cs="Calibri"/>
          <w:b/>
        </w:rPr>
        <w:t>)</w:t>
      </w:r>
      <w:r>
        <w:rPr>
          <w:rFonts w:asciiTheme="minorHAnsi" w:hAnsiTheme="minorHAnsi" w:cs="Calibri"/>
          <w:b/>
        </w:rPr>
        <w:t>48</w:t>
      </w:r>
    </w:p>
    <w:p w14:paraId="169DE84F" w14:textId="77777777" w:rsidR="00A44913" w:rsidRDefault="006B29DD" w:rsidP="007F1FD7">
      <w:pPr>
        <w:spacing w:after="0" w:line="240" w:lineRule="auto"/>
        <w:ind w:left="720"/>
        <w:jc w:val="both"/>
        <w:rPr>
          <w:rFonts w:asciiTheme="minorHAnsi" w:hAnsiTheme="minorHAnsi"/>
        </w:rPr>
      </w:pPr>
      <w:r w:rsidRPr="00FB4737">
        <w:rPr>
          <w:rFonts w:asciiTheme="minorHAnsi" w:hAnsiTheme="minorHAnsi"/>
        </w:rPr>
        <w:t xml:space="preserve">Court </w:t>
      </w:r>
      <w:r w:rsidRPr="00FB4737">
        <w:rPr>
          <w:rFonts w:asciiTheme="minorHAnsi" w:hAnsiTheme="minorHAnsi"/>
          <w:b/>
        </w:rPr>
        <w:t>received</w:t>
      </w:r>
      <w:r w:rsidRPr="00FB4737">
        <w:rPr>
          <w:rFonts w:asciiTheme="minorHAnsi" w:hAnsiTheme="minorHAnsi"/>
        </w:rPr>
        <w:t xml:space="preserve"> a report on recent developments in the external environment and their potential impact upon the higher education sector.  </w:t>
      </w:r>
      <w:r w:rsidR="00A44913" w:rsidRPr="00FB4737">
        <w:rPr>
          <w:rFonts w:asciiTheme="minorHAnsi" w:hAnsiTheme="minorHAnsi"/>
        </w:rPr>
        <w:t>Issues highligh</w:t>
      </w:r>
      <w:r w:rsidR="00FB4737">
        <w:rPr>
          <w:rFonts w:asciiTheme="minorHAnsi" w:hAnsiTheme="minorHAnsi"/>
        </w:rPr>
        <w:t>t</w:t>
      </w:r>
      <w:r w:rsidR="00A44913" w:rsidRPr="00FB4737">
        <w:rPr>
          <w:rFonts w:asciiTheme="minorHAnsi" w:hAnsiTheme="minorHAnsi"/>
        </w:rPr>
        <w:t xml:space="preserve">ed included the publication of the </w:t>
      </w:r>
      <w:proofErr w:type="spellStart"/>
      <w:r w:rsidR="00A44913" w:rsidRPr="00FB4737">
        <w:rPr>
          <w:rFonts w:asciiTheme="minorHAnsi" w:hAnsiTheme="minorHAnsi"/>
        </w:rPr>
        <w:t>Augar</w:t>
      </w:r>
      <w:proofErr w:type="spellEnd"/>
      <w:r w:rsidR="00A44913" w:rsidRPr="00FB4737">
        <w:rPr>
          <w:rFonts w:asciiTheme="minorHAnsi" w:hAnsiTheme="minorHAnsi"/>
        </w:rPr>
        <w:t xml:space="preserve"> Review on post-18 education and funding.  The headline from the review was the proposed</w:t>
      </w:r>
      <w:r w:rsidR="00661235">
        <w:rPr>
          <w:rFonts w:asciiTheme="minorHAnsi" w:hAnsiTheme="minorHAnsi"/>
        </w:rPr>
        <w:t xml:space="preserve"> reduction</w:t>
      </w:r>
      <w:r w:rsidR="00A44913" w:rsidRPr="00FB4737">
        <w:rPr>
          <w:rFonts w:asciiTheme="minorHAnsi" w:hAnsiTheme="minorHAnsi"/>
        </w:rPr>
        <w:t xml:space="preserve"> of the </w:t>
      </w:r>
      <w:r w:rsidR="00661235">
        <w:rPr>
          <w:rFonts w:asciiTheme="minorHAnsi" w:hAnsiTheme="minorHAnsi"/>
        </w:rPr>
        <w:t xml:space="preserve">maximum </w:t>
      </w:r>
      <w:r w:rsidR="00A44913" w:rsidRPr="00FB4737">
        <w:rPr>
          <w:rFonts w:asciiTheme="minorHAnsi" w:hAnsiTheme="minorHAnsi"/>
        </w:rPr>
        <w:t>undergraduate tuition fee in England from £9,250 to £7,500</w:t>
      </w:r>
      <w:r w:rsidR="00975AA1">
        <w:rPr>
          <w:rFonts w:asciiTheme="minorHAnsi" w:hAnsiTheme="minorHAnsi"/>
        </w:rPr>
        <w:t>, without recommending an associated cap on the student numbers for English institutions</w:t>
      </w:r>
      <w:r w:rsidR="00A44913" w:rsidRPr="00FB4737">
        <w:rPr>
          <w:rFonts w:asciiTheme="minorHAnsi" w:hAnsiTheme="minorHAnsi"/>
        </w:rPr>
        <w:t>.  If implemented</w:t>
      </w:r>
      <w:r w:rsidR="000B02EA">
        <w:rPr>
          <w:rFonts w:asciiTheme="minorHAnsi" w:hAnsiTheme="minorHAnsi"/>
        </w:rPr>
        <w:t>,</w:t>
      </w:r>
      <w:r w:rsidR="00975AA1">
        <w:rPr>
          <w:rFonts w:asciiTheme="minorHAnsi" w:hAnsiTheme="minorHAnsi"/>
        </w:rPr>
        <w:t xml:space="preserve"> </w:t>
      </w:r>
      <w:r w:rsidR="00A44913" w:rsidRPr="00FB4737">
        <w:rPr>
          <w:rFonts w:asciiTheme="minorHAnsi" w:hAnsiTheme="minorHAnsi"/>
        </w:rPr>
        <w:t xml:space="preserve">this </w:t>
      </w:r>
      <w:r w:rsidR="00661235">
        <w:rPr>
          <w:rFonts w:asciiTheme="minorHAnsi" w:hAnsiTheme="minorHAnsi"/>
        </w:rPr>
        <w:t>w</w:t>
      </w:r>
      <w:r w:rsidR="00A44913" w:rsidRPr="00FB4737">
        <w:rPr>
          <w:rFonts w:asciiTheme="minorHAnsi" w:hAnsiTheme="minorHAnsi"/>
        </w:rPr>
        <w:t xml:space="preserve">ould have knock on implications for fees </w:t>
      </w:r>
      <w:r w:rsidR="000B02EA">
        <w:rPr>
          <w:rFonts w:asciiTheme="minorHAnsi" w:hAnsiTheme="minorHAnsi"/>
        </w:rPr>
        <w:t xml:space="preserve">that </w:t>
      </w:r>
      <w:r w:rsidR="00A44913" w:rsidRPr="00FB4737">
        <w:rPr>
          <w:rFonts w:asciiTheme="minorHAnsi" w:hAnsiTheme="minorHAnsi"/>
        </w:rPr>
        <w:t>Scottish institutions would be able to charge</w:t>
      </w:r>
      <w:r w:rsidR="000B02EA">
        <w:rPr>
          <w:rFonts w:asciiTheme="minorHAnsi" w:hAnsiTheme="minorHAnsi"/>
        </w:rPr>
        <w:t xml:space="preserve"> Rest of UK students</w:t>
      </w:r>
      <w:r w:rsidR="00A44913" w:rsidRPr="00FB4737">
        <w:rPr>
          <w:rFonts w:asciiTheme="minorHAnsi" w:hAnsiTheme="minorHAnsi"/>
        </w:rPr>
        <w:t>.</w:t>
      </w:r>
    </w:p>
    <w:p w14:paraId="42E5E68E" w14:textId="77777777" w:rsidR="00FB4737" w:rsidRDefault="00FB4737" w:rsidP="007F1FD7">
      <w:pPr>
        <w:spacing w:after="0" w:line="240" w:lineRule="auto"/>
        <w:ind w:left="720"/>
        <w:jc w:val="both"/>
        <w:rPr>
          <w:rFonts w:asciiTheme="minorHAnsi" w:hAnsiTheme="minorHAnsi"/>
        </w:rPr>
      </w:pPr>
    </w:p>
    <w:p w14:paraId="08CAB6D9" w14:textId="77777777" w:rsidR="009F4809" w:rsidRPr="00C06F6F" w:rsidRDefault="00FB4737" w:rsidP="007F1FD7">
      <w:pPr>
        <w:spacing w:after="0" w:line="240" w:lineRule="auto"/>
        <w:ind w:left="720"/>
        <w:jc w:val="both"/>
        <w:rPr>
          <w:rFonts w:asciiTheme="minorHAnsi" w:hAnsiTheme="minorHAnsi"/>
        </w:rPr>
      </w:pPr>
      <w:r w:rsidRPr="00C06F6F">
        <w:rPr>
          <w:rFonts w:asciiTheme="minorHAnsi" w:hAnsiTheme="minorHAnsi"/>
        </w:rPr>
        <w:t xml:space="preserve">The </w:t>
      </w:r>
      <w:r w:rsidR="000B02EA">
        <w:rPr>
          <w:rFonts w:asciiTheme="minorHAnsi" w:hAnsiTheme="minorHAnsi"/>
        </w:rPr>
        <w:t>r</w:t>
      </w:r>
      <w:r w:rsidRPr="00C06F6F">
        <w:rPr>
          <w:rFonts w:asciiTheme="minorHAnsi" w:hAnsiTheme="minorHAnsi"/>
        </w:rPr>
        <w:t xml:space="preserve">eport included details of </w:t>
      </w:r>
      <w:r w:rsidR="009F4809" w:rsidRPr="00C06F6F">
        <w:rPr>
          <w:rFonts w:asciiTheme="minorHAnsi" w:hAnsiTheme="minorHAnsi"/>
        </w:rPr>
        <w:t xml:space="preserve">a number of external factors that presented potential </w:t>
      </w:r>
      <w:r w:rsidR="005A2D4E" w:rsidRPr="00C06F6F">
        <w:rPr>
          <w:rFonts w:asciiTheme="minorHAnsi" w:hAnsiTheme="minorHAnsi"/>
        </w:rPr>
        <w:t xml:space="preserve">strategic and </w:t>
      </w:r>
      <w:r w:rsidR="009F4809" w:rsidRPr="00C06F6F">
        <w:rPr>
          <w:rFonts w:asciiTheme="minorHAnsi" w:hAnsiTheme="minorHAnsi"/>
        </w:rPr>
        <w:t xml:space="preserve">financial challenges to the University, most notably: Brexit, student recruitment, UK and Scottish Government policy, public spending and funding allocations, staff pay awards and pensions.  </w:t>
      </w:r>
    </w:p>
    <w:p w14:paraId="63D54D77" w14:textId="77777777" w:rsidR="00317FBB" w:rsidRPr="00C06F6F" w:rsidRDefault="00317FBB" w:rsidP="007F1FD7">
      <w:pPr>
        <w:spacing w:after="0" w:line="240" w:lineRule="auto"/>
        <w:ind w:left="720"/>
        <w:jc w:val="both"/>
        <w:rPr>
          <w:rFonts w:asciiTheme="minorHAnsi" w:hAnsiTheme="minorHAnsi"/>
        </w:rPr>
      </w:pPr>
    </w:p>
    <w:p w14:paraId="0909B5A3" w14:textId="77777777" w:rsidR="006B29DD" w:rsidRDefault="006B29DD" w:rsidP="006B29DD">
      <w:pPr>
        <w:spacing w:after="0" w:line="240" w:lineRule="auto"/>
        <w:ind w:left="709"/>
        <w:contextualSpacing/>
        <w:jc w:val="both"/>
        <w:rPr>
          <w:rFonts w:asciiTheme="minorHAnsi" w:hAnsiTheme="minorHAnsi" w:cs="Calibri"/>
        </w:rPr>
      </w:pPr>
      <w:r w:rsidRPr="00C06F6F">
        <w:rPr>
          <w:rFonts w:asciiTheme="minorHAnsi" w:hAnsiTheme="minorHAnsi" w:cs="Calibri"/>
        </w:rPr>
        <w:t xml:space="preserve">Court </w:t>
      </w:r>
      <w:r w:rsidRPr="00C06F6F">
        <w:rPr>
          <w:rFonts w:asciiTheme="minorHAnsi" w:hAnsiTheme="minorHAnsi" w:cs="Calibri"/>
          <w:b/>
        </w:rPr>
        <w:t>noted</w:t>
      </w:r>
      <w:r w:rsidRPr="00C06F6F">
        <w:rPr>
          <w:rFonts w:asciiTheme="minorHAnsi" w:hAnsiTheme="minorHAnsi" w:cs="Calibri"/>
        </w:rPr>
        <w:t xml:space="preserve"> the update on the external environment.</w:t>
      </w:r>
    </w:p>
    <w:p w14:paraId="5489D4CD"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p>
    <w:p w14:paraId="46B5AB37" w14:textId="77777777" w:rsidR="00A443BC" w:rsidRDefault="00A443BC" w:rsidP="00A1284E">
      <w:pPr>
        <w:tabs>
          <w:tab w:val="left" w:pos="709"/>
          <w:tab w:val="right" w:pos="9026"/>
        </w:tabs>
        <w:spacing w:after="0" w:line="240" w:lineRule="auto"/>
        <w:contextualSpacing/>
        <w:rPr>
          <w:rFonts w:cs="Calibri"/>
          <w:b/>
          <w:i/>
        </w:rPr>
      </w:pPr>
    </w:p>
    <w:p w14:paraId="427648A7" w14:textId="77777777" w:rsidR="00A443BC" w:rsidRDefault="00A443BC" w:rsidP="00A1284E">
      <w:pPr>
        <w:tabs>
          <w:tab w:val="left" w:pos="709"/>
          <w:tab w:val="right" w:pos="9026"/>
        </w:tabs>
        <w:spacing w:after="0" w:line="240" w:lineRule="auto"/>
        <w:contextualSpacing/>
        <w:rPr>
          <w:rFonts w:cs="Calibri"/>
          <w:b/>
          <w:i/>
        </w:rPr>
      </w:pPr>
    </w:p>
    <w:p w14:paraId="4ECE092E" w14:textId="77777777" w:rsidR="00A1284E" w:rsidRPr="00F17CE0" w:rsidRDefault="00A1284E" w:rsidP="00A1284E">
      <w:pPr>
        <w:tabs>
          <w:tab w:val="left" w:pos="709"/>
          <w:tab w:val="right" w:pos="9026"/>
        </w:tabs>
        <w:spacing w:after="0" w:line="240" w:lineRule="auto"/>
        <w:contextualSpacing/>
        <w:rPr>
          <w:rFonts w:cs="Calibri"/>
          <w:b/>
          <w:i/>
        </w:rPr>
      </w:pPr>
      <w:r w:rsidRPr="00F17CE0">
        <w:rPr>
          <w:rFonts w:cs="Calibri"/>
          <w:b/>
          <w:i/>
        </w:rPr>
        <w:lastRenderedPageBreak/>
        <w:t>DELIVERY OF THE STRATEGIC PLAN</w:t>
      </w:r>
    </w:p>
    <w:p w14:paraId="514313BC"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p>
    <w:p w14:paraId="1558EDF7" w14:textId="77777777" w:rsidR="00A1284E" w:rsidRPr="00F17CE0" w:rsidRDefault="00A1284E" w:rsidP="00A1284E">
      <w:pPr>
        <w:tabs>
          <w:tab w:val="left" w:pos="709"/>
          <w:tab w:val="right" w:pos="9026"/>
        </w:tabs>
        <w:spacing w:after="0" w:line="240" w:lineRule="auto"/>
        <w:contextualSpacing/>
        <w:rPr>
          <w:rFonts w:asciiTheme="minorHAnsi" w:hAnsiTheme="minorHAnsi" w:cs="Calibri"/>
        </w:rPr>
      </w:pPr>
      <w:r>
        <w:rPr>
          <w:rFonts w:asciiTheme="minorHAnsi" w:hAnsiTheme="minorHAnsi" w:cs="Calibri"/>
          <w:b/>
        </w:rPr>
        <w:t>5.</w:t>
      </w:r>
      <w:r>
        <w:rPr>
          <w:rFonts w:asciiTheme="minorHAnsi" w:hAnsiTheme="minorHAnsi" w:cs="Calibri"/>
          <w:b/>
        </w:rPr>
        <w:tab/>
        <w:t>PLANNING &amp; BUDGETING</w:t>
      </w:r>
      <w:r w:rsidRPr="00F17CE0">
        <w:rPr>
          <w:rFonts w:asciiTheme="minorHAnsi" w:hAnsiTheme="minorHAnsi" w:cs="Calibri"/>
          <w:b/>
        </w:rPr>
        <w:tab/>
      </w:r>
    </w:p>
    <w:p w14:paraId="0FADC7F8" w14:textId="77777777" w:rsidR="00A1284E" w:rsidRPr="00A7772D" w:rsidRDefault="00A1284E" w:rsidP="00A1284E">
      <w:pPr>
        <w:tabs>
          <w:tab w:val="left" w:pos="1418"/>
          <w:tab w:val="right" w:pos="9026"/>
        </w:tabs>
        <w:spacing w:after="0" w:line="240" w:lineRule="auto"/>
        <w:ind w:left="709"/>
        <w:contextualSpacing/>
        <w:jc w:val="both"/>
        <w:rPr>
          <w:rFonts w:asciiTheme="minorHAnsi" w:hAnsiTheme="minorHAnsi" w:cs="Calibri"/>
          <w:b/>
        </w:rPr>
      </w:pPr>
      <w:r w:rsidRPr="00A7772D">
        <w:rPr>
          <w:rFonts w:asciiTheme="minorHAnsi" w:hAnsiTheme="minorHAnsi" w:cs="Calibri"/>
          <w:b/>
        </w:rPr>
        <w:t>(i)</w:t>
      </w:r>
      <w:r w:rsidRPr="00A7772D">
        <w:rPr>
          <w:rFonts w:asciiTheme="minorHAnsi" w:hAnsiTheme="minorHAnsi" w:cs="Calibri"/>
          <w:b/>
        </w:rPr>
        <w:tab/>
        <w:t xml:space="preserve">University Budget 2019/20 </w:t>
      </w:r>
      <w:r w:rsidRPr="00A7772D">
        <w:rPr>
          <w:rFonts w:asciiTheme="minorHAnsi" w:hAnsiTheme="minorHAnsi" w:cs="Calibri"/>
          <w:b/>
        </w:rPr>
        <w:tab/>
      </w:r>
      <w:proofErr w:type="gramStart"/>
      <w:r w:rsidRPr="00A7772D">
        <w:rPr>
          <w:rFonts w:asciiTheme="minorHAnsi" w:hAnsiTheme="minorHAnsi" w:cs="Calibri"/>
          <w:b/>
        </w:rPr>
        <w:t>UC(</w:t>
      </w:r>
      <w:proofErr w:type="gramEnd"/>
      <w:r w:rsidRPr="00A7772D">
        <w:rPr>
          <w:rFonts w:asciiTheme="minorHAnsi" w:hAnsiTheme="minorHAnsi" w:cs="Calibri"/>
          <w:b/>
        </w:rPr>
        <w:t>18/19)</w:t>
      </w:r>
      <w:r>
        <w:rPr>
          <w:rFonts w:asciiTheme="minorHAnsi" w:hAnsiTheme="minorHAnsi" w:cs="Calibri"/>
          <w:b/>
        </w:rPr>
        <w:t>49</w:t>
      </w:r>
    </w:p>
    <w:p w14:paraId="18DD2128" w14:textId="77777777" w:rsidR="00C06F6F" w:rsidRPr="00A850B2" w:rsidRDefault="00C06F6F" w:rsidP="00C06F6F">
      <w:pPr>
        <w:spacing w:after="0" w:line="240" w:lineRule="auto"/>
        <w:ind w:left="709"/>
        <w:contextualSpacing/>
        <w:jc w:val="both"/>
        <w:rPr>
          <w:rFonts w:cs="Calibri"/>
        </w:rPr>
      </w:pPr>
      <w:r w:rsidRPr="00C06F6F">
        <w:rPr>
          <w:rFonts w:cs="Calibri"/>
        </w:rPr>
        <w:t>Court considered the University’s proposed revenue budget and associated cash flows for</w:t>
      </w:r>
      <w:r w:rsidRPr="00A850B2">
        <w:rPr>
          <w:rFonts w:cs="Calibri"/>
        </w:rPr>
        <w:t xml:space="preserve"> 2019-22 including the financial impact of the proposed capital investment plan.    </w:t>
      </w:r>
    </w:p>
    <w:p w14:paraId="764DA783" w14:textId="77777777" w:rsidR="00C06F6F" w:rsidRDefault="00C06F6F" w:rsidP="00C06F6F">
      <w:pPr>
        <w:spacing w:after="0" w:line="240" w:lineRule="auto"/>
        <w:ind w:left="709"/>
        <w:contextualSpacing/>
        <w:jc w:val="both"/>
        <w:rPr>
          <w:rFonts w:cs="Calibri"/>
        </w:rPr>
      </w:pPr>
    </w:p>
    <w:p w14:paraId="1C203E55" w14:textId="77777777" w:rsidR="00D0029E" w:rsidRDefault="00D0029E" w:rsidP="00D0029E">
      <w:pPr>
        <w:spacing w:after="0" w:line="240" w:lineRule="auto"/>
        <w:ind w:left="709"/>
        <w:jc w:val="both"/>
        <w:rPr>
          <w:rFonts w:cstheme="minorHAnsi"/>
        </w:rPr>
      </w:pPr>
      <w:r>
        <w:rPr>
          <w:rFonts w:cstheme="minorHAnsi"/>
        </w:rPr>
        <w:t>The draft budget was presented with the endorsement of JPPRC</w:t>
      </w:r>
      <w:r w:rsidR="00661235">
        <w:rPr>
          <w:rFonts w:cstheme="minorHAnsi"/>
        </w:rPr>
        <w:t>,</w:t>
      </w:r>
      <w:r>
        <w:rPr>
          <w:rFonts w:cstheme="minorHAnsi"/>
        </w:rPr>
        <w:t xml:space="preserve"> for</w:t>
      </w:r>
      <w:r w:rsidR="00661235">
        <w:rPr>
          <w:rFonts w:cstheme="minorHAnsi"/>
        </w:rPr>
        <w:t xml:space="preserve"> approval by </w:t>
      </w:r>
      <w:r>
        <w:rPr>
          <w:rFonts w:cstheme="minorHAnsi"/>
        </w:rPr>
        <w:t xml:space="preserve">Court.  The budget had been prepared through an iterative process taking account of extensive consultations with academic, professional services and commercial areas.  Approval was requested for a budget that was presented against main SORP headings for income and expenditure.   </w:t>
      </w:r>
    </w:p>
    <w:p w14:paraId="1C041288" w14:textId="77777777" w:rsidR="00D0029E" w:rsidRDefault="00D0029E" w:rsidP="00D0029E">
      <w:pPr>
        <w:spacing w:after="0" w:line="240" w:lineRule="auto"/>
        <w:ind w:left="709"/>
        <w:jc w:val="both"/>
        <w:rPr>
          <w:rFonts w:cstheme="minorHAnsi"/>
        </w:rPr>
      </w:pPr>
    </w:p>
    <w:p w14:paraId="6347A21A" w14:textId="77777777" w:rsidR="00D0029E" w:rsidRDefault="00D0029E" w:rsidP="00D0029E">
      <w:pPr>
        <w:spacing w:after="0" w:line="240" w:lineRule="auto"/>
        <w:ind w:left="709"/>
        <w:jc w:val="both"/>
        <w:rPr>
          <w:rFonts w:cstheme="minorHAnsi"/>
        </w:rPr>
      </w:pPr>
      <w:r>
        <w:rPr>
          <w:rFonts w:cstheme="minorHAnsi"/>
        </w:rPr>
        <w:t>The paper presented three modelled budget scenarios which reflected the extremely challenging environment within which the University was operating</w:t>
      </w:r>
      <w:r w:rsidR="00661235">
        <w:rPr>
          <w:rFonts w:cstheme="minorHAnsi"/>
        </w:rPr>
        <w:t xml:space="preserve"> and proposed that the </w:t>
      </w:r>
      <w:r w:rsidR="00661235" w:rsidRPr="00661235">
        <w:rPr>
          <w:rFonts w:cstheme="minorHAnsi"/>
          <w:i/>
        </w:rPr>
        <w:t>Likely Scenario</w:t>
      </w:r>
      <w:r w:rsidR="00661235">
        <w:rPr>
          <w:rFonts w:cstheme="minorHAnsi"/>
        </w:rPr>
        <w:t xml:space="preserve"> be adopted</w:t>
      </w:r>
      <w:r>
        <w:rPr>
          <w:rFonts w:cstheme="minorHAnsi"/>
        </w:rPr>
        <w:t xml:space="preserve">.   </w:t>
      </w:r>
    </w:p>
    <w:p w14:paraId="4E22B036" w14:textId="77777777" w:rsidR="00D0029E" w:rsidRDefault="00D0029E" w:rsidP="00D0029E">
      <w:pPr>
        <w:spacing w:after="0" w:line="240" w:lineRule="auto"/>
        <w:ind w:left="709"/>
        <w:jc w:val="both"/>
        <w:rPr>
          <w:rFonts w:cstheme="minorHAnsi"/>
        </w:rPr>
      </w:pPr>
    </w:p>
    <w:p w14:paraId="23CEEF9F" w14:textId="77777777" w:rsidR="00D0029E" w:rsidRDefault="00D0029E" w:rsidP="00D0029E">
      <w:pPr>
        <w:spacing w:after="0" w:line="240" w:lineRule="auto"/>
        <w:ind w:left="709"/>
        <w:jc w:val="both"/>
        <w:rPr>
          <w:rFonts w:cstheme="minorHAnsi"/>
        </w:rPr>
      </w:pPr>
      <w:r w:rsidRPr="00057E51">
        <w:rPr>
          <w:rFonts w:cstheme="minorHAnsi"/>
        </w:rPr>
        <w:t>Th</w:t>
      </w:r>
      <w:r>
        <w:rPr>
          <w:rFonts w:cstheme="minorHAnsi"/>
        </w:rPr>
        <w:t xml:space="preserve">e </w:t>
      </w:r>
      <w:r w:rsidRPr="000B02EA">
        <w:rPr>
          <w:rFonts w:cstheme="minorHAnsi"/>
          <w:i/>
        </w:rPr>
        <w:t>Likely Scenario</w:t>
      </w:r>
      <w:r>
        <w:rPr>
          <w:rFonts w:cstheme="minorHAnsi"/>
        </w:rPr>
        <w:t xml:space="preserve"> </w:t>
      </w:r>
      <w:r w:rsidRPr="00057E51">
        <w:rPr>
          <w:rFonts w:cstheme="minorHAnsi"/>
        </w:rPr>
        <w:t>present</w:t>
      </w:r>
      <w:r>
        <w:rPr>
          <w:rFonts w:cstheme="minorHAnsi"/>
        </w:rPr>
        <w:t>ed</w:t>
      </w:r>
      <w:r w:rsidRPr="00057E51">
        <w:rPr>
          <w:rFonts w:cstheme="minorHAnsi"/>
        </w:rPr>
        <w:t xml:space="preserve"> a</w:t>
      </w:r>
      <w:r>
        <w:rPr>
          <w:rFonts w:cstheme="minorHAnsi"/>
        </w:rPr>
        <w:t>n accounting deficit under FRS 102</w:t>
      </w:r>
      <w:r w:rsidRPr="00057E51">
        <w:rPr>
          <w:rFonts w:cstheme="minorHAnsi"/>
        </w:rPr>
        <w:t xml:space="preserve"> of £3.5m</w:t>
      </w:r>
      <w:r>
        <w:rPr>
          <w:rFonts w:cstheme="minorHAnsi"/>
        </w:rPr>
        <w:t xml:space="preserve"> and an EBITDA (Earnings Before Interest, Taxation, Depreciation and Amortisation) of £6.2m.  Court noted that to achieve that outcome would r</w:t>
      </w:r>
      <w:r w:rsidRPr="00057E51">
        <w:rPr>
          <w:rFonts w:cstheme="minorHAnsi"/>
        </w:rPr>
        <w:t>equire recurrent savings of just over £5m to be achieved in year.</w:t>
      </w:r>
      <w:r>
        <w:rPr>
          <w:rFonts w:cstheme="minorHAnsi"/>
        </w:rPr>
        <w:t xml:space="preserve"> In order to be compliant with the University’s debt covenants, </w:t>
      </w:r>
      <w:r w:rsidRPr="008404B7">
        <w:rPr>
          <w:rFonts w:cstheme="minorHAnsi"/>
        </w:rPr>
        <w:t xml:space="preserve">EBITDA </w:t>
      </w:r>
      <w:r>
        <w:rPr>
          <w:rFonts w:cstheme="minorHAnsi"/>
        </w:rPr>
        <w:t xml:space="preserve">had to </w:t>
      </w:r>
      <w:r w:rsidRPr="008404B7">
        <w:rPr>
          <w:rFonts w:cstheme="minorHAnsi"/>
        </w:rPr>
        <w:t>be at least £3.2m</w:t>
      </w:r>
      <w:r>
        <w:rPr>
          <w:rFonts w:cstheme="minorHAnsi"/>
        </w:rPr>
        <w:t xml:space="preserve">. The </w:t>
      </w:r>
      <w:r w:rsidRPr="000B02EA">
        <w:rPr>
          <w:rFonts w:cstheme="minorHAnsi"/>
          <w:i/>
        </w:rPr>
        <w:t>Likely Scenario</w:t>
      </w:r>
      <w:r>
        <w:rPr>
          <w:rFonts w:cstheme="minorHAnsi"/>
        </w:rPr>
        <w:t xml:space="preserve"> provided a </w:t>
      </w:r>
      <w:r w:rsidRPr="00077533">
        <w:rPr>
          <w:rFonts w:cstheme="minorHAnsi"/>
        </w:rPr>
        <w:t xml:space="preserve">margin of £3m above the covenant threshold </w:t>
      </w:r>
      <w:r>
        <w:rPr>
          <w:rFonts w:cstheme="minorHAnsi"/>
        </w:rPr>
        <w:t>and would deliver</w:t>
      </w:r>
      <w:r w:rsidRPr="00077533">
        <w:rPr>
          <w:rFonts w:cstheme="minorHAnsi"/>
        </w:rPr>
        <w:t xml:space="preserve"> compliance with the University Treasury Management Policy.</w:t>
      </w:r>
    </w:p>
    <w:p w14:paraId="54CB5EBB" w14:textId="77777777" w:rsidR="00D0029E" w:rsidRDefault="00D0029E" w:rsidP="00D0029E">
      <w:pPr>
        <w:spacing w:after="0" w:line="240" w:lineRule="auto"/>
        <w:ind w:left="709"/>
        <w:jc w:val="both"/>
        <w:rPr>
          <w:rFonts w:cstheme="minorHAnsi"/>
        </w:rPr>
      </w:pPr>
    </w:p>
    <w:p w14:paraId="18FE2013" w14:textId="77777777" w:rsidR="00D0029E" w:rsidRDefault="00D0029E" w:rsidP="00D0029E">
      <w:pPr>
        <w:spacing w:after="0" w:line="240" w:lineRule="auto"/>
        <w:ind w:left="709"/>
        <w:jc w:val="both"/>
        <w:rPr>
          <w:rFonts w:cstheme="minorHAnsi"/>
        </w:rPr>
      </w:pPr>
      <w:r>
        <w:rPr>
          <w:rFonts w:cstheme="minorHAnsi"/>
        </w:rPr>
        <w:t xml:space="preserve">Members of Court questioned senior management in detail on the key assumptions on which the budget estimates were based.  </w:t>
      </w:r>
    </w:p>
    <w:p w14:paraId="68214135" w14:textId="77777777" w:rsidR="00D0029E" w:rsidRDefault="00D0029E" w:rsidP="00D0029E">
      <w:pPr>
        <w:spacing w:after="0" w:line="240" w:lineRule="auto"/>
        <w:ind w:left="709"/>
        <w:jc w:val="both"/>
        <w:rPr>
          <w:rFonts w:cstheme="minorHAnsi"/>
        </w:rPr>
      </w:pPr>
    </w:p>
    <w:p w14:paraId="5ECF72F5" w14:textId="77777777" w:rsidR="00D0029E" w:rsidRDefault="00D0029E" w:rsidP="00D0029E">
      <w:pPr>
        <w:spacing w:after="0" w:line="240" w:lineRule="auto"/>
        <w:ind w:left="709"/>
        <w:jc w:val="both"/>
        <w:rPr>
          <w:rFonts w:cstheme="minorHAnsi"/>
        </w:rPr>
      </w:pPr>
      <w:r>
        <w:rPr>
          <w:rFonts w:cstheme="minorHAnsi"/>
        </w:rPr>
        <w:t>It was noted that in the three scenarios presented income was constant and that the different scenario outturns were achieved through different levels of expenditure savings.  These were split pro rata between staff costs and other operating expenditure (OOE).  There was scrutiny by Court members of the Executive’s plans for achieving the required £5m savings.  It was explained that a number of steps were being put in place</w:t>
      </w:r>
      <w:r w:rsidR="00661235">
        <w:rPr>
          <w:rFonts w:cstheme="minorHAnsi"/>
        </w:rPr>
        <w:t xml:space="preserve"> through consideration of staff vacancies</w:t>
      </w:r>
      <w:r>
        <w:rPr>
          <w:rFonts w:cstheme="minorHAnsi"/>
        </w:rPr>
        <w:t xml:space="preserve"> until the end of the calendar year 2020 and a 10% reduction of all non-essential operating expenses.  It was acknowledged that it was a fine line between ensuring the cost base was manageable whilst still having the ability to grow income. </w:t>
      </w:r>
    </w:p>
    <w:p w14:paraId="5779FFA3" w14:textId="77777777" w:rsidR="00D0029E" w:rsidRDefault="00D0029E" w:rsidP="00D0029E">
      <w:pPr>
        <w:spacing w:after="0" w:line="240" w:lineRule="auto"/>
        <w:ind w:left="709"/>
        <w:jc w:val="both"/>
        <w:rPr>
          <w:rFonts w:cstheme="minorHAnsi"/>
        </w:rPr>
      </w:pPr>
    </w:p>
    <w:p w14:paraId="7E50F9DC" w14:textId="77777777" w:rsidR="00D0029E" w:rsidRDefault="00D0029E" w:rsidP="00D0029E">
      <w:pPr>
        <w:spacing w:after="0" w:line="240" w:lineRule="auto"/>
        <w:ind w:left="709"/>
        <w:jc w:val="both"/>
        <w:rPr>
          <w:rFonts w:cstheme="minorHAnsi"/>
        </w:rPr>
      </w:pPr>
      <w:r>
        <w:rPr>
          <w:rFonts w:cstheme="minorHAnsi"/>
        </w:rPr>
        <w:t xml:space="preserve">Court was assured that all reasonable steps would be taken to ensure the required savings targets would be met without creating a negative impact on </w:t>
      </w:r>
      <w:r w:rsidR="00661235">
        <w:rPr>
          <w:rFonts w:cstheme="minorHAnsi"/>
        </w:rPr>
        <w:t xml:space="preserve">the University’s ability to grow income or on </w:t>
      </w:r>
      <w:r>
        <w:rPr>
          <w:rFonts w:cstheme="minorHAnsi"/>
        </w:rPr>
        <w:t>the student experience.</w:t>
      </w:r>
    </w:p>
    <w:p w14:paraId="038E7179" w14:textId="77777777" w:rsidR="00D0029E" w:rsidRDefault="00D0029E" w:rsidP="00C06F6F">
      <w:pPr>
        <w:spacing w:after="0" w:line="240" w:lineRule="auto"/>
        <w:ind w:left="709"/>
        <w:contextualSpacing/>
        <w:jc w:val="both"/>
        <w:rPr>
          <w:rFonts w:cs="Calibri"/>
        </w:rPr>
      </w:pPr>
    </w:p>
    <w:p w14:paraId="0AA3EEE0" w14:textId="77777777" w:rsidR="00C06F6F" w:rsidRPr="00A94D32" w:rsidRDefault="00E91C49" w:rsidP="00C06F6F">
      <w:pPr>
        <w:spacing w:after="0" w:line="240" w:lineRule="auto"/>
        <w:ind w:left="709"/>
        <w:rPr>
          <w:rFonts w:cstheme="minorHAnsi"/>
        </w:rPr>
      </w:pPr>
      <w:r>
        <w:rPr>
          <w:rFonts w:cstheme="minorHAnsi"/>
        </w:rPr>
        <w:t xml:space="preserve">Thereafter </w:t>
      </w:r>
      <w:r w:rsidR="00C06F6F">
        <w:rPr>
          <w:rFonts w:cstheme="minorHAnsi"/>
        </w:rPr>
        <w:t xml:space="preserve">Court: </w:t>
      </w:r>
    </w:p>
    <w:p w14:paraId="4E0FB887" w14:textId="77777777" w:rsidR="00C06F6F" w:rsidRPr="00A94D32" w:rsidRDefault="00C06F6F" w:rsidP="00C06F6F">
      <w:pPr>
        <w:pStyle w:val="ListParagraph"/>
        <w:numPr>
          <w:ilvl w:val="0"/>
          <w:numId w:val="4"/>
        </w:numPr>
        <w:spacing w:after="0" w:line="240" w:lineRule="auto"/>
        <w:ind w:left="1429"/>
        <w:jc w:val="both"/>
        <w:rPr>
          <w:rFonts w:cstheme="minorHAnsi"/>
        </w:rPr>
      </w:pPr>
      <w:r>
        <w:rPr>
          <w:rFonts w:cstheme="minorHAnsi"/>
          <w:b/>
        </w:rPr>
        <w:t>A</w:t>
      </w:r>
      <w:r w:rsidRPr="00CF0E9A">
        <w:rPr>
          <w:rFonts w:cstheme="minorHAnsi"/>
          <w:b/>
        </w:rPr>
        <w:t>pprove</w:t>
      </w:r>
      <w:r w:rsidR="00E91C49">
        <w:rPr>
          <w:rFonts w:cstheme="minorHAnsi"/>
          <w:b/>
        </w:rPr>
        <w:t>d</w:t>
      </w:r>
      <w:r w:rsidRPr="00CF0E9A">
        <w:rPr>
          <w:rFonts w:cstheme="minorHAnsi"/>
          <w:b/>
        </w:rPr>
        <w:t xml:space="preserve"> </w:t>
      </w:r>
      <w:r w:rsidRPr="00A94D32">
        <w:rPr>
          <w:rFonts w:cstheme="minorHAnsi"/>
        </w:rPr>
        <w:t>the University’s proposed revenue budget target of an operating deficit of £3.5m for 20</w:t>
      </w:r>
      <w:r>
        <w:rPr>
          <w:rFonts w:cstheme="minorHAnsi"/>
        </w:rPr>
        <w:t>19/</w:t>
      </w:r>
      <w:r w:rsidRPr="00A94D32">
        <w:rPr>
          <w:rFonts w:cstheme="minorHAnsi"/>
        </w:rPr>
        <w:t>20</w:t>
      </w:r>
      <w:r>
        <w:rPr>
          <w:rFonts w:cstheme="minorHAnsi"/>
        </w:rPr>
        <w:t>.</w:t>
      </w:r>
    </w:p>
    <w:p w14:paraId="4C26F2E0" w14:textId="77777777" w:rsidR="00C06F6F" w:rsidRDefault="00C06F6F" w:rsidP="00C06F6F">
      <w:pPr>
        <w:pStyle w:val="ListParagraph"/>
        <w:numPr>
          <w:ilvl w:val="0"/>
          <w:numId w:val="4"/>
        </w:numPr>
        <w:spacing w:after="0" w:line="240" w:lineRule="auto"/>
        <w:ind w:left="1429"/>
        <w:jc w:val="both"/>
        <w:rPr>
          <w:rFonts w:cstheme="minorHAnsi"/>
        </w:rPr>
      </w:pPr>
      <w:r w:rsidRPr="00CF0E9A">
        <w:rPr>
          <w:rFonts w:cstheme="minorHAnsi"/>
          <w:b/>
        </w:rPr>
        <w:t>Note</w:t>
      </w:r>
      <w:r w:rsidR="00E91C49">
        <w:rPr>
          <w:rFonts w:cstheme="minorHAnsi"/>
          <w:b/>
        </w:rPr>
        <w:t>d</w:t>
      </w:r>
      <w:r w:rsidRPr="00A94D32">
        <w:rPr>
          <w:rFonts w:cstheme="minorHAnsi"/>
        </w:rPr>
        <w:t xml:space="preserve"> the management actions and the potential implications required to deliver the proposed revenue budget for 2019-22</w:t>
      </w:r>
      <w:r>
        <w:rPr>
          <w:rFonts w:cstheme="minorHAnsi"/>
        </w:rPr>
        <w:t>.</w:t>
      </w:r>
    </w:p>
    <w:p w14:paraId="0D40616E" w14:textId="77777777" w:rsidR="00C06F6F" w:rsidRDefault="00C06F6F" w:rsidP="00C06F6F">
      <w:pPr>
        <w:pStyle w:val="ListParagraph"/>
        <w:numPr>
          <w:ilvl w:val="0"/>
          <w:numId w:val="4"/>
        </w:numPr>
        <w:spacing w:after="0" w:line="240" w:lineRule="auto"/>
        <w:ind w:left="1429"/>
        <w:jc w:val="both"/>
        <w:rPr>
          <w:rFonts w:cstheme="minorHAnsi"/>
        </w:rPr>
      </w:pPr>
      <w:r w:rsidRPr="00CF0E9A">
        <w:rPr>
          <w:rFonts w:cstheme="minorHAnsi"/>
          <w:b/>
        </w:rPr>
        <w:t>Note</w:t>
      </w:r>
      <w:r w:rsidR="00E91C49">
        <w:rPr>
          <w:rFonts w:cstheme="minorHAnsi"/>
          <w:b/>
        </w:rPr>
        <w:t>d</w:t>
      </w:r>
      <w:r>
        <w:rPr>
          <w:rFonts w:cstheme="minorHAnsi"/>
        </w:rPr>
        <w:t xml:space="preserve"> </w:t>
      </w:r>
      <w:r w:rsidRPr="00A94D32">
        <w:rPr>
          <w:rFonts w:cstheme="minorHAnsi"/>
        </w:rPr>
        <w:t>that the approved budget w</w:t>
      </w:r>
      <w:r w:rsidR="00E91C49">
        <w:rPr>
          <w:rFonts w:cstheme="minorHAnsi"/>
        </w:rPr>
        <w:t xml:space="preserve">ould </w:t>
      </w:r>
      <w:r w:rsidRPr="00A94D32">
        <w:rPr>
          <w:rFonts w:cstheme="minorHAnsi"/>
        </w:rPr>
        <w:t xml:space="preserve">form the basis of the Financial Forecasts </w:t>
      </w:r>
      <w:r w:rsidR="00E91C49">
        <w:rPr>
          <w:rFonts w:cstheme="minorHAnsi"/>
        </w:rPr>
        <w:t xml:space="preserve">submitted </w:t>
      </w:r>
      <w:r w:rsidRPr="00A94D32">
        <w:rPr>
          <w:rFonts w:cstheme="minorHAnsi"/>
        </w:rPr>
        <w:t>to the Scottish Funding Council at the end of June, in accordance with the requirements of in its financial monitoring</w:t>
      </w:r>
      <w:r>
        <w:rPr>
          <w:rFonts w:cstheme="minorHAnsi"/>
        </w:rPr>
        <w:t xml:space="preserve"> framework.</w:t>
      </w:r>
    </w:p>
    <w:p w14:paraId="79E67B92" w14:textId="77777777" w:rsidR="00C06F6F" w:rsidRDefault="00C06F6F" w:rsidP="00A1284E">
      <w:pPr>
        <w:tabs>
          <w:tab w:val="right" w:pos="9026"/>
        </w:tabs>
        <w:spacing w:after="0" w:line="240" w:lineRule="auto"/>
        <w:ind w:firstLine="709"/>
        <w:contextualSpacing/>
        <w:jc w:val="both"/>
        <w:rPr>
          <w:rFonts w:asciiTheme="minorHAnsi" w:hAnsiTheme="minorHAnsi" w:cs="Calibri"/>
        </w:rPr>
      </w:pPr>
    </w:p>
    <w:p w14:paraId="1A1F7C3D" w14:textId="77777777" w:rsidR="00A1284E" w:rsidRPr="00A7772D" w:rsidRDefault="00E91C49" w:rsidP="00A1284E">
      <w:pPr>
        <w:tabs>
          <w:tab w:val="left" w:pos="1418"/>
          <w:tab w:val="right" w:pos="9026"/>
        </w:tabs>
        <w:spacing w:after="0" w:line="240" w:lineRule="auto"/>
        <w:ind w:left="709"/>
        <w:contextualSpacing/>
        <w:jc w:val="both"/>
        <w:rPr>
          <w:rFonts w:asciiTheme="minorHAnsi" w:hAnsiTheme="minorHAnsi" w:cs="Calibri"/>
          <w:b/>
        </w:rPr>
      </w:pPr>
      <w:r w:rsidRPr="00A7772D">
        <w:rPr>
          <w:rFonts w:asciiTheme="minorHAnsi" w:hAnsiTheme="minorHAnsi" w:cs="Calibri"/>
          <w:b/>
        </w:rPr>
        <w:t xml:space="preserve"> </w:t>
      </w:r>
      <w:r w:rsidR="00A1284E" w:rsidRPr="00A7772D">
        <w:rPr>
          <w:rFonts w:asciiTheme="minorHAnsi" w:hAnsiTheme="minorHAnsi" w:cs="Calibri"/>
          <w:b/>
        </w:rPr>
        <w:t>(ii)</w:t>
      </w:r>
      <w:r w:rsidR="00A1284E" w:rsidRPr="00A7772D">
        <w:rPr>
          <w:rFonts w:asciiTheme="minorHAnsi" w:hAnsiTheme="minorHAnsi" w:cs="Calibri"/>
          <w:b/>
        </w:rPr>
        <w:tab/>
        <w:t xml:space="preserve">Making It Happen Performance 2019-2021 </w:t>
      </w:r>
      <w:r w:rsidR="00A1284E" w:rsidRPr="00A7772D">
        <w:rPr>
          <w:rFonts w:asciiTheme="minorHAnsi" w:hAnsiTheme="minorHAnsi" w:cs="Calibri"/>
          <w:b/>
        </w:rPr>
        <w:tab/>
      </w:r>
      <w:proofErr w:type="gramStart"/>
      <w:r w:rsidR="00A1284E" w:rsidRPr="00A7772D">
        <w:rPr>
          <w:rFonts w:asciiTheme="minorHAnsi" w:hAnsiTheme="minorHAnsi" w:cs="Calibri"/>
          <w:b/>
        </w:rPr>
        <w:t>UC(</w:t>
      </w:r>
      <w:proofErr w:type="gramEnd"/>
      <w:r w:rsidR="00A1284E" w:rsidRPr="00A7772D">
        <w:rPr>
          <w:rFonts w:asciiTheme="minorHAnsi" w:hAnsiTheme="minorHAnsi" w:cs="Calibri"/>
          <w:b/>
        </w:rPr>
        <w:t>18/19)</w:t>
      </w:r>
      <w:r w:rsidR="00A1284E">
        <w:rPr>
          <w:rFonts w:asciiTheme="minorHAnsi" w:hAnsiTheme="minorHAnsi" w:cs="Calibri"/>
          <w:b/>
        </w:rPr>
        <w:t>50</w:t>
      </w:r>
    </w:p>
    <w:p w14:paraId="44EDEEBA" w14:textId="77777777" w:rsidR="000D6EA7" w:rsidRDefault="000D6EA7" w:rsidP="000D6EA7">
      <w:pPr>
        <w:spacing w:after="0" w:line="240" w:lineRule="auto"/>
        <w:ind w:left="709"/>
        <w:jc w:val="both"/>
        <w:rPr>
          <w:rFonts w:cstheme="minorHAnsi"/>
        </w:rPr>
      </w:pPr>
      <w:r w:rsidRPr="000D6EA7">
        <w:rPr>
          <w:rFonts w:cstheme="minorHAnsi"/>
        </w:rPr>
        <w:t xml:space="preserve">Court considered the </w:t>
      </w:r>
      <w:r w:rsidRPr="000D6EA7">
        <w:rPr>
          <w:rFonts w:cstheme="minorHAnsi"/>
          <w:i/>
        </w:rPr>
        <w:t>Making it Happen</w:t>
      </w:r>
      <w:r w:rsidRPr="000D6EA7">
        <w:rPr>
          <w:rFonts w:cstheme="minorHAnsi"/>
        </w:rPr>
        <w:t xml:space="preserve"> (</w:t>
      </w:r>
      <w:proofErr w:type="spellStart"/>
      <w:r w:rsidRPr="000D6EA7">
        <w:rPr>
          <w:rFonts w:cstheme="minorHAnsi"/>
        </w:rPr>
        <w:t>MiH</w:t>
      </w:r>
      <w:proofErr w:type="spellEnd"/>
      <w:r w:rsidRPr="000D6EA7">
        <w:rPr>
          <w:rFonts w:cstheme="minorHAnsi"/>
        </w:rPr>
        <w:t xml:space="preserve">) plan 2019-2021.  </w:t>
      </w:r>
      <w:proofErr w:type="spellStart"/>
      <w:r w:rsidRPr="000D6EA7">
        <w:rPr>
          <w:rFonts w:cstheme="minorHAnsi"/>
        </w:rPr>
        <w:t>MiH</w:t>
      </w:r>
      <w:proofErr w:type="spellEnd"/>
      <w:r w:rsidRPr="000D6EA7">
        <w:rPr>
          <w:rFonts w:cstheme="minorHAnsi"/>
        </w:rPr>
        <w:t xml:space="preserve"> ha</w:t>
      </w:r>
      <w:r w:rsidR="000B02EA">
        <w:rPr>
          <w:rFonts w:cstheme="minorHAnsi"/>
        </w:rPr>
        <w:t>d</w:t>
      </w:r>
      <w:r w:rsidRPr="000D6EA7">
        <w:rPr>
          <w:rFonts w:cstheme="minorHAnsi"/>
        </w:rPr>
        <w:t xml:space="preserve"> been</w:t>
      </w:r>
      <w:r w:rsidRPr="00566B95">
        <w:rPr>
          <w:rFonts w:cstheme="minorHAnsi"/>
        </w:rPr>
        <w:t xml:space="preserve"> developed to support delivery of the University’s strategic ambitions set out in the Strategic Plan 2016-2021. </w:t>
      </w:r>
      <w:proofErr w:type="spellStart"/>
      <w:r w:rsidRPr="00566B95">
        <w:rPr>
          <w:rFonts w:cstheme="minorHAnsi"/>
        </w:rPr>
        <w:lastRenderedPageBreak/>
        <w:t>MiH</w:t>
      </w:r>
      <w:proofErr w:type="spellEnd"/>
      <w:r w:rsidRPr="00566B95">
        <w:rPr>
          <w:rFonts w:cstheme="minorHAnsi"/>
        </w:rPr>
        <w:t xml:space="preserve"> 201</w:t>
      </w:r>
      <w:r>
        <w:rPr>
          <w:rFonts w:cstheme="minorHAnsi"/>
        </w:rPr>
        <w:t>9-</w:t>
      </w:r>
      <w:r w:rsidRPr="00566B95">
        <w:rPr>
          <w:rFonts w:cstheme="minorHAnsi"/>
        </w:rPr>
        <w:t>21 buil</w:t>
      </w:r>
      <w:r>
        <w:rPr>
          <w:rFonts w:cstheme="minorHAnsi"/>
        </w:rPr>
        <w:t>t on the progress made in year three</w:t>
      </w:r>
      <w:r w:rsidRPr="00566B95">
        <w:rPr>
          <w:rFonts w:cstheme="minorHAnsi"/>
        </w:rPr>
        <w:t xml:space="preserve"> of the Strategic Plan, include</w:t>
      </w:r>
      <w:r>
        <w:rPr>
          <w:rFonts w:cstheme="minorHAnsi"/>
        </w:rPr>
        <w:t>d</w:t>
      </w:r>
      <w:r w:rsidRPr="00566B95">
        <w:rPr>
          <w:rFonts w:cstheme="minorHAnsi"/>
        </w:rPr>
        <w:t xml:space="preserve"> a snapshot of institutional performance</w:t>
      </w:r>
      <w:r>
        <w:rPr>
          <w:rFonts w:cstheme="minorHAnsi"/>
        </w:rPr>
        <w:t xml:space="preserve"> data against 2018/19 milestones </w:t>
      </w:r>
      <w:r w:rsidRPr="00566B95">
        <w:rPr>
          <w:rFonts w:cstheme="minorHAnsi"/>
        </w:rPr>
        <w:t>and provide</w:t>
      </w:r>
      <w:r w:rsidR="00661235">
        <w:rPr>
          <w:rFonts w:cstheme="minorHAnsi"/>
        </w:rPr>
        <w:t>d</w:t>
      </w:r>
      <w:r w:rsidRPr="00566B95">
        <w:rPr>
          <w:rFonts w:cstheme="minorHAnsi"/>
        </w:rPr>
        <w:t xml:space="preserve"> a forecast performance to 2021.</w:t>
      </w:r>
    </w:p>
    <w:p w14:paraId="76EC22BE" w14:textId="77777777" w:rsidR="00A4134E" w:rsidRDefault="00A4134E" w:rsidP="000D6EA7">
      <w:pPr>
        <w:spacing w:after="0" w:line="240" w:lineRule="auto"/>
        <w:ind w:left="709"/>
        <w:jc w:val="both"/>
        <w:rPr>
          <w:rFonts w:cstheme="minorHAnsi"/>
        </w:rPr>
      </w:pPr>
    </w:p>
    <w:p w14:paraId="5BFDD6AC" w14:textId="77777777" w:rsidR="00A4134E" w:rsidRDefault="00A4134E" w:rsidP="000D6EA7">
      <w:pPr>
        <w:spacing w:after="0" w:line="240" w:lineRule="auto"/>
        <w:ind w:left="709"/>
        <w:jc w:val="both"/>
        <w:rPr>
          <w:rFonts w:cstheme="minorHAnsi"/>
        </w:rPr>
      </w:pPr>
      <w:r>
        <w:rPr>
          <w:rFonts w:cstheme="minorHAnsi"/>
        </w:rPr>
        <w:t>Some key areas included:</w:t>
      </w:r>
    </w:p>
    <w:p w14:paraId="342163DE" w14:textId="77777777" w:rsidR="00A4134E" w:rsidRPr="00457D85" w:rsidRDefault="00A4134E" w:rsidP="00457D85">
      <w:pPr>
        <w:pStyle w:val="ListParagraph"/>
        <w:numPr>
          <w:ilvl w:val="0"/>
          <w:numId w:val="5"/>
        </w:numPr>
        <w:spacing w:after="0" w:line="240" w:lineRule="auto"/>
        <w:jc w:val="both"/>
        <w:rPr>
          <w:rFonts w:cstheme="minorHAnsi"/>
        </w:rPr>
      </w:pPr>
      <w:r w:rsidRPr="00457D85">
        <w:rPr>
          <w:rFonts w:cstheme="minorHAnsi"/>
        </w:rPr>
        <w:t xml:space="preserve">Growing unregulated student numbers - this included the development of international partnerships building on work that has already been done with Amity Global Institute and Planet Core International Education FZE.  During 2019/20 a new Internationalisation Strategy would be developed.  </w:t>
      </w:r>
    </w:p>
    <w:p w14:paraId="00011E42" w14:textId="77777777" w:rsidR="00457D85" w:rsidRPr="00457D85" w:rsidRDefault="00A4134E" w:rsidP="00457D85">
      <w:pPr>
        <w:pStyle w:val="ListParagraph"/>
        <w:numPr>
          <w:ilvl w:val="0"/>
          <w:numId w:val="5"/>
        </w:numPr>
        <w:spacing w:after="0" w:line="240" w:lineRule="auto"/>
        <w:jc w:val="both"/>
        <w:rPr>
          <w:rFonts w:cstheme="minorHAnsi"/>
        </w:rPr>
      </w:pPr>
      <w:r w:rsidRPr="00457D85">
        <w:rPr>
          <w:rFonts w:cstheme="minorHAnsi"/>
        </w:rPr>
        <w:t xml:space="preserve">Improving student experience - </w:t>
      </w:r>
      <w:r w:rsidR="00457D85" w:rsidRPr="00457D85">
        <w:rPr>
          <w:rFonts w:cstheme="minorHAnsi"/>
        </w:rPr>
        <w:t>activities w</w:t>
      </w:r>
      <w:r w:rsidR="00065EDC">
        <w:rPr>
          <w:rFonts w:cstheme="minorHAnsi"/>
        </w:rPr>
        <w:t>ould</w:t>
      </w:r>
      <w:r w:rsidR="00457D85" w:rsidRPr="00457D85">
        <w:rPr>
          <w:rFonts w:cstheme="minorHAnsi"/>
        </w:rPr>
        <w:t xml:space="preserve"> </w:t>
      </w:r>
      <w:r w:rsidRPr="00457D85">
        <w:rPr>
          <w:rFonts w:cstheme="minorHAnsi"/>
        </w:rPr>
        <w:t>includ</w:t>
      </w:r>
      <w:r w:rsidR="00457D85" w:rsidRPr="00457D85">
        <w:rPr>
          <w:rFonts w:cstheme="minorHAnsi"/>
        </w:rPr>
        <w:t>e</w:t>
      </w:r>
      <w:r w:rsidRPr="00457D85">
        <w:rPr>
          <w:rFonts w:cstheme="minorHAnsi"/>
        </w:rPr>
        <w:t xml:space="preserve"> the development of a new student experience plan and a new Mental Health and Wellbeing Plan.</w:t>
      </w:r>
      <w:r w:rsidR="00457D85" w:rsidRPr="00457D85">
        <w:rPr>
          <w:rFonts w:cstheme="minorHAnsi"/>
        </w:rPr>
        <w:t xml:space="preserve">  The transformation of the estate (Campus Central and redeveloped sports facilities) would also contribute to student experience.</w:t>
      </w:r>
    </w:p>
    <w:p w14:paraId="45F27EF3" w14:textId="77777777" w:rsidR="000D6EA7" w:rsidRPr="00457D85" w:rsidRDefault="00457D85" w:rsidP="00457D85">
      <w:pPr>
        <w:pStyle w:val="ListParagraph"/>
        <w:numPr>
          <w:ilvl w:val="0"/>
          <w:numId w:val="5"/>
        </w:numPr>
        <w:spacing w:after="0" w:line="240" w:lineRule="auto"/>
        <w:jc w:val="both"/>
        <w:rPr>
          <w:rFonts w:cstheme="minorHAnsi"/>
        </w:rPr>
      </w:pPr>
      <w:r w:rsidRPr="00457D85">
        <w:rPr>
          <w:rFonts w:cstheme="minorHAnsi"/>
        </w:rPr>
        <w:t>Developing research - work would include focusing on larger grants</w:t>
      </w:r>
      <w:r w:rsidR="00870D91">
        <w:rPr>
          <w:rFonts w:cstheme="minorHAnsi"/>
        </w:rPr>
        <w:t xml:space="preserve"> </w:t>
      </w:r>
      <w:r w:rsidRPr="00457D85">
        <w:rPr>
          <w:rFonts w:cstheme="minorHAnsi"/>
        </w:rPr>
        <w:t>and continued preparations for REF 2021</w:t>
      </w:r>
      <w:r w:rsidR="00065EDC">
        <w:rPr>
          <w:rFonts w:cstheme="minorHAnsi"/>
        </w:rPr>
        <w:t>.</w:t>
      </w:r>
      <w:r w:rsidR="00A4134E" w:rsidRPr="00457D85">
        <w:rPr>
          <w:rFonts w:cstheme="minorHAnsi"/>
        </w:rPr>
        <w:t xml:space="preserve">  </w:t>
      </w:r>
    </w:p>
    <w:p w14:paraId="02FD1A3B" w14:textId="77777777" w:rsidR="00A4134E" w:rsidRPr="00566B95" w:rsidRDefault="00A4134E" w:rsidP="000D6EA7">
      <w:pPr>
        <w:spacing w:after="0" w:line="240" w:lineRule="auto"/>
        <w:ind w:left="709"/>
        <w:jc w:val="both"/>
        <w:rPr>
          <w:rFonts w:cstheme="minorHAnsi"/>
        </w:rPr>
      </w:pPr>
    </w:p>
    <w:p w14:paraId="42E404A1" w14:textId="77777777" w:rsidR="000D6EA7" w:rsidRDefault="000D6EA7" w:rsidP="000D6EA7">
      <w:pPr>
        <w:spacing w:after="0" w:line="240" w:lineRule="auto"/>
        <w:ind w:left="709"/>
        <w:rPr>
          <w:rFonts w:cstheme="minorHAnsi"/>
        </w:rPr>
      </w:pPr>
      <w:r>
        <w:rPr>
          <w:rFonts w:cstheme="minorHAnsi"/>
        </w:rPr>
        <w:t xml:space="preserve">Court </w:t>
      </w:r>
      <w:r w:rsidRPr="008404B7">
        <w:rPr>
          <w:rFonts w:cstheme="minorHAnsi"/>
          <w:b/>
        </w:rPr>
        <w:t>approve</w:t>
      </w:r>
      <w:r w:rsidR="00457D85">
        <w:rPr>
          <w:rFonts w:cstheme="minorHAnsi"/>
          <w:b/>
        </w:rPr>
        <w:t>d</w:t>
      </w:r>
      <w:r>
        <w:rPr>
          <w:rFonts w:cstheme="minorHAnsi"/>
        </w:rPr>
        <w:t xml:space="preserve"> the </w:t>
      </w:r>
      <w:proofErr w:type="spellStart"/>
      <w:r>
        <w:rPr>
          <w:rFonts w:cstheme="minorHAnsi"/>
        </w:rPr>
        <w:t>MiH</w:t>
      </w:r>
      <w:proofErr w:type="spellEnd"/>
      <w:r w:rsidRPr="00566B95">
        <w:rPr>
          <w:rFonts w:cstheme="minorHAnsi"/>
        </w:rPr>
        <w:t xml:space="preserve"> plan for 201</w:t>
      </w:r>
      <w:r w:rsidR="00065EDC">
        <w:rPr>
          <w:rFonts w:cstheme="minorHAnsi"/>
        </w:rPr>
        <w:t>9-</w:t>
      </w:r>
      <w:r>
        <w:rPr>
          <w:rFonts w:cstheme="minorHAnsi"/>
        </w:rPr>
        <w:t>2</w:t>
      </w:r>
      <w:r w:rsidR="00065EDC">
        <w:rPr>
          <w:rFonts w:cstheme="minorHAnsi"/>
        </w:rPr>
        <w:t>1</w:t>
      </w:r>
      <w:r w:rsidRPr="00566B95">
        <w:rPr>
          <w:rFonts w:cstheme="minorHAnsi"/>
        </w:rPr>
        <w:t>.</w:t>
      </w:r>
    </w:p>
    <w:p w14:paraId="40925B00" w14:textId="77777777" w:rsidR="00545AE2" w:rsidRDefault="00545AE2" w:rsidP="00545AE2">
      <w:pPr>
        <w:spacing w:after="0" w:line="240" w:lineRule="auto"/>
        <w:rPr>
          <w:rFonts w:asciiTheme="minorHAnsi" w:hAnsiTheme="minorHAnsi" w:cs="Calibri"/>
        </w:rPr>
      </w:pPr>
    </w:p>
    <w:p w14:paraId="49B9D68E" w14:textId="77777777" w:rsidR="00545AE2" w:rsidRPr="00A7772D" w:rsidRDefault="00545AE2" w:rsidP="00545AE2">
      <w:pPr>
        <w:tabs>
          <w:tab w:val="left" w:pos="1418"/>
          <w:tab w:val="right" w:pos="9026"/>
        </w:tabs>
        <w:spacing w:after="0" w:line="240" w:lineRule="auto"/>
        <w:ind w:left="709"/>
        <w:contextualSpacing/>
        <w:jc w:val="both"/>
        <w:rPr>
          <w:rFonts w:asciiTheme="minorHAnsi" w:hAnsiTheme="minorHAnsi" w:cs="Calibri"/>
          <w:b/>
        </w:rPr>
      </w:pPr>
      <w:r w:rsidRPr="00A7772D">
        <w:rPr>
          <w:rFonts w:asciiTheme="minorHAnsi" w:hAnsiTheme="minorHAnsi" w:cs="Calibri"/>
          <w:b/>
        </w:rPr>
        <w:t>(</w:t>
      </w:r>
      <w:r>
        <w:rPr>
          <w:rFonts w:asciiTheme="minorHAnsi" w:hAnsiTheme="minorHAnsi" w:cs="Calibri"/>
          <w:b/>
        </w:rPr>
        <w:t>i</w:t>
      </w:r>
      <w:r w:rsidRPr="00A7772D">
        <w:rPr>
          <w:rFonts w:asciiTheme="minorHAnsi" w:hAnsiTheme="minorHAnsi" w:cs="Calibri"/>
          <w:b/>
        </w:rPr>
        <w:t>ii)</w:t>
      </w:r>
      <w:r w:rsidRPr="00A7772D">
        <w:rPr>
          <w:rFonts w:asciiTheme="minorHAnsi" w:hAnsiTheme="minorHAnsi" w:cs="Calibri"/>
          <w:b/>
        </w:rPr>
        <w:tab/>
      </w:r>
      <w:r>
        <w:rPr>
          <w:rFonts w:asciiTheme="minorHAnsi" w:hAnsiTheme="minorHAnsi" w:cs="Calibri"/>
          <w:b/>
        </w:rPr>
        <w:t xml:space="preserve">Capital </w:t>
      </w:r>
      <w:r w:rsidR="00661235">
        <w:rPr>
          <w:rFonts w:asciiTheme="minorHAnsi" w:hAnsiTheme="minorHAnsi" w:cs="Calibri"/>
          <w:b/>
        </w:rPr>
        <w:t>Expenditure</w:t>
      </w:r>
      <w:r>
        <w:rPr>
          <w:rFonts w:asciiTheme="minorHAnsi" w:hAnsiTheme="minorHAnsi" w:cs="Calibri"/>
          <w:b/>
        </w:rPr>
        <w:t xml:space="preserve"> Plan</w:t>
      </w:r>
      <w:r w:rsidRPr="00A7772D">
        <w:rPr>
          <w:rFonts w:asciiTheme="minorHAnsi" w:hAnsiTheme="minorHAnsi" w:cs="Calibri"/>
          <w:b/>
        </w:rPr>
        <w:t xml:space="preserve"> </w:t>
      </w:r>
      <w:r w:rsidRPr="00A7772D">
        <w:rPr>
          <w:rFonts w:asciiTheme="minorHAnsi" w:hAnsiTheme="minorHAnsi" w:cs="Calibri"/>
          <w:b/>
        </w:rPr>
        <w:tab/>
      </w:r>
      <w:proofErr w:type="gramStart"/>
      <w:r w:rsidRPr="00A7772D">
        <w:rPr>
          <w:rFonts w:asciiTheme="minorHAnsi" w:hAnsiTheme="minorHAnsi" w:cs="Calibri"/>
          <w:b/>
        </w:rPr>
        <w:t>UC(</w:t>
      </w:r>
      <w:proofErr w:type="gramEnd"/>
      <w:r w:rsidRPr="00A7772D">
        <w:rPr>
          <w:rFonts w:asciiTheme="minorHAnsi" w:hAnsiTheme="minorHAnsi" w:cs="Calibri"/>
          <w:b/>
        </w:rPr>
        <w:t>18/19)</w:t>
      </w:r>
      <w:r>
        <w:rPr>
          <w:rFonts w:asciiTheme="minorHAnsi" w:hAnsiTheme="minorHAnsi" w:cs="Calibri"/>
          <w:b/>
        </w:rPr>
        <w:t>51</w:t>
      </w:r>
    </w:p>
    <w:p w14:paraId="7968F154" w14:textId="77777777" w:rsidR="00C05208" w:rsidRPr="00C05208" w:rsidRDefault="00C05208" w:rsidP="00C05208">
      <w:pPr>
        <w:spacing w:after="0" w:line="240" w:lineRule="auto"/>
        <w:ind w:left="709"/>
        <w:jc w:val="both"/>
        <w:rPr>
          <w:rFonts w:cstheme="minorHAnsi"/>
        </w:rPr>
      </w:pPr>
      <w:r w:rsidRPr="00C05208">
        <w:rPr>
          <w:rFonts w:cstheme="minorHAnsi"/>
        </w:rPr>
        <w:t xml:space="preserve">Court considered </w:t>
      </w:r>
      <w:r w:rsidR="00661235">
        <w:rPr>
          <w:rFonts w:cstheme="minorHAnsi"/>
        </w:rPr>
        <w:t xml:space="preserve">an update of the </w:t>
      </w:r>
      <w:r w:rsidRPr="00C05208">
        <w:rPr>
          <w:rFonts w:cstheme="minorHAnsi"/>
        </w:rPr>
        <w:t xml:space="preserve">Capital Expenditure </w:t>
      </w:r>
      <w:r w:rsidR="00661235">
        <w:rPr>
          <w:rFonts w:cstheme="minorHAnsi"/>
        </w:rPr>
        <w:t>indicative plan for 2018-23</w:t>
      </w:r>
      <w:r w:rsidRPr="00C05208">
        <w:rPr>
          <w:rFonts w:cstheme="minorHAnsi"/>
        </w:rPr>
        <w:t>.</w:t>
      </w:r>
      <w:r>
        <w:rPr>
          <w:rFonts w:cstheme="minorHAnsi"/>
        </w:rPr>
        <w:t xml:space="preserve">  The original capital plan had been appro</w:t>
      </w:r>
      <w:r w:rsidR="005A0CBD">
        <w:rPr>
          <w:rFonts w:cstheme="minorHAnsi"/>
        </w:rPr>
        <w:t xml:space="preserve">ved by Court in June 2018.  The revised plan presented </w:t>
      </w:r>
      <w:r>
        <w:rPr>
          <w:rFonts w:cstheme="minorHAnsi"/>
        </w:rPr>
        <w:t>an updated forecast for 2018-19 and an indicative plan for 2019-23</w:t>
      </w:r>
      <w:r w:rsidR="00065EDC">
        <w:rPr>
          <w:rFonts w:cstheme="minorHAnsi"/>
        </w:rPr>
        <w:t xml:space="preserve">.  Although </w:t>
      </w:r>
      <w:r w:rsidR="00B34173">
        <w:rPr>
          <w:rFonts w:cstheme="minorHAnsi"/>
        </w:rPr>
        <w:t>the overall budget remained at £68m</w:t>
      </w:r>
      <w:r w:rsidR="00065EDC">
        <w:rPr>
          <w:rFonts w:cstheme="minorHAnsi"/>
        </w:rPr>
        <w:t>,</w:t>
      </w:r>
      <w:r w:rsidR="00771319">
        <w:rPr>
          <w:rFonts w:cstheme="minorHAnsi"/>
        </w:rPr>
        <w:t xml:space="preserve"> there had been a reprioritisation of work</w:t>
      </w:r>
      <w:r w:rsidR="00D0029E">
        <w:rPr>
          <w:rFonts w:cstheme="minorHAnsi"/>
        </w:rPr>
        <w:t xml:space="preserve"> within that total amount</w:t>
      </w:r>
      <w:r>
        <w:rPr>
          <w:rFonts w:cstheme="minorHAnsi"/>
        </w:rPr>
        <w:t xml:space="preserve">.  </w:t>
      </w:r>
    </w:p>
    <w:p w14:paraId="49FF2B5C" w14:textId="77777777" w:rsidR="00C05208" w:rsidRDefault="00C05208" w:rsidP="00C05208">
      <w:pPr>
        <w:spacing w:after="0" w:line="240" w:lineRule="auto"/>
        <w:ind w:left="709"/>
        <w:jc w:val="both"/>
        <w:rPr>
          <w:rFonts w:cstheme="minorHAnsi"/>
        </w:rPr>
      </w:pPr>
    </w:p>
    <w:p w14:paraId="5D2F4E66" w14:textId="77777777" w:rsidR="008C7778" w:rsidRDefault="008C7778" w:rsidP="00C05208">
      <w:pPr>
        <w:spacing w:after="0" w:line="240" w:lineRule="auto"/>
        <w:ind w:left="709"/>
        <w:jc w:val="both"/>
        <w:rPr>
          <w:rFonts w:cstheme="minorHAnsi"/>
        </w:rPr>
      </w:pPr>
      <w:r>
        <w:rPr>
          <w:rFonts w:cstheme="minorHAnsi"/>
        </w:rPr>
        <w:t xml:space="preserve">Court had previously approved the first stage of stage of the Teaching and Learning Zone project, the Cottrell Courtyard Learning Zone.  However, the start of this project had been postponed due to delays associated with tender qualifications and operational issues but also because an indication had been received from SFC that the Teaching and Learning Zone project would meet the criteria for their Financial Transactions Loan.   An application for the loan would be </w:t>
      </w:r>
      <w:r w:rsidR="00870D91">
        <w:rPr>
          <w:rFonts w:cstheme="minorHAnsi"/>
        </w:rPr>
        <w:t>considered</w:t>
      </w:r>
      <w:r>
        <w:rPr>
          <w:rFonts w:cstheme="minorHAnsi"/>
        </w:rPr>
        <w:t xml:space="preserve"> by the SFC Board in September.  </w:t>
      </w:r>
    </w:p>
    <w:p w14:paraId="7ADF810F" w14:textId="77777777" w:rsidR="008C7778" w:rsidRDefault="008C7778" w:rsidP="00C05208">
      <w:pPr>
        <w:spacing w:after="0" w:line="240" w:lineRule="auto"/>
        <w:ind w:left="709"/>
        <w:jc w:val="both"/>
        <w:rPr>
          <w:rFonts w:cstheme="minorHAnsi"/>
        </w:rPr>
      </w:pPr>
    </w:p>
    <w:p w14:paraId="6B670CC4" w14:textId="77777777" w:rsidR="00771319" w:rsidRDefault="008C7778" w:rsidP="00C05208">
      <w:pPr>
        <w:spacing w:after="0" w:line="240" w:lineRule="auto"/>
        <w:ind w:left="709"/>
        <w:jc w:val="both"/>
        <w:rPr>
          <w:rFonts w:cstheme="minorHAnsi"/>
        </w:rPr>
      </w:pPr>
      <w:r>
        <w:rPr>
          <w:rFonts w:cstheme="minorHAnsi"/>
        </w:rPr>
        <w:t xml:space="preserve">Provision had been made in the plan for </w:t>
      </w:r>
      <w:r w:rsidR="006C7633">
        <w:rPr>
          <w:rFonts w:cstheme="minorHAnsi"/>
        </w:rPr>
        <w:t>£0.5m each year for the investment in the legacy residences which responded to concerns raised by students about student accommodation.  The proposed investment would not fully address the backlog of maintenance required but would be supplemented by prioritising work</w:t>
      </w:r>
      <w:r w:rsidR="00771319">
        <w:rPr>
          <w:rFonts w:cstheme="minorHAnsi"/>
        </w:rPr>
        <w:t xml:space="preserve"> in the student accommodation by the maintenance team.  </w:t>
      </w:r>
    </w:p>
    <w:p w14:paraId="6B619FD4" w14:textId="77777777" w:rsidR="00771319" w:rsidRDefault="00771319" w:rsidP="00C05208">
      <w:pPr>
        <w:spacing w:after="0" w:line="240" w:lineRule="auto"/>
        <w:ind w:left="709"/>
        <w:jc w:val="both"/>
        <w:rPr>
          <w:rFonts w:cstheme="minorHAnsi"/>
        </w:rPr>
      </w:pPr>
    </w:p>
    <w:p w14:paraId="1B3D861F" w14:textId="77777777" w:rsidR="00771319" w:rsidRDefault="00771319" w:rsidP="00C05208">
      <w:pPr>
        <w:spacing w:after="0" w:line="240" w:lineRule="auto"/>
        <w:ind w:left="709"/>
        <w:jc w:val="both"/>
        <w:rPr>
          <w:rFonts w:cstheme="minorHAnsi"/>
        </w:rPr>
      </w:pPr>
      <w:r>
        <w:rPr>
          <w:rFonts w:cstheme="minorHAnsi"/>
        </w:rPr>
        <w:t xml:space="preserve">The Campus Central and Sports Facilities Redevelopment were both </w:t>
      </w:r>
      <w:r w:rsidR="00A443BC">
        <w:rPr>
          <w:rFonts w:cstheme="minorHAnsi"/>
        </w:rPr>
        <w:t>progressing</w:t>
      </w:r>
      <w:r>
        <w:rPr>
          <w:rFonts w:cstheme="minorHAnsi"/>
        </w:rPr>
        <w:t xml:space="preserve"> on time and on budget.</w:t>
      </w:r>
    </w:p>
    <w:p w14:paraId="224F21B7" w14:textId="77777777" w:rsidR="00C05208" w:rsidRDefault="00C05208" w:rsidP="00A1284E">
      <w:pPr>
        <w:tabs>
          <w:tab w:val="right" w:pos="9026"/>
        </w:tabs>
        <w:spacing w:after="0" w:line="240" w:lineRule="auto"/>
        <w:ind w:firstLine="709"/>
        <w:contextualSpacing/>
        <w:jc w:val="both"/>
        <w:rPr>
          <w:rFonts w:asciiTheme="minorHAnsi" w:hAnsiTheme="minorHAnsi" w:cs="Calibri"/>
        </w:rPr>
      </w:pPr>
    </w:p>
    <w:p w14:paraId="50CD23C6" w14:textId="77777777" w:rsidR="00A1284E" w:rsidRPr="00F17CE0" w:rsidRDefault="00771319" w:rsidP="00A1284E">
      <w:pPr>
        <w:tabs>
          <w:tab w:val="right" w:pos="9026"/>
        </w:tabs>
        <w:spacing w:after="0" w:line="240" w:lineRule="auto"/>
        <w:ind w:firstLine="709"/>
        <w:contextualSpacing/>
        <w:jc w:val="both"/>
        <w:rPr>
          <w:rFonts w:asciiTheme="minorHAnsi" w:hAnsiTheme="minorHAnsi" w:cs="Calibri"/>
        </w:rPr>
      </w:pPr>
      <w:r>
        <w:rPr>
          <w:rFonts w:asciiTheme="minorHAnsi" w:hAnsiTheme="minorHAnsi" w:cs="Calibri"/>
        </w:rPr>
        <w:t xml:space="preserve">Court </w:t>
      </w:r>
      <w:r w:rsidRPr="00771319">
        <w:rPr>
          <w:rFonts w:asciiTheme="minorHAnsi" w:hAnsiTheme="minorHAnsi" w:cs="Calibri"/>
          <w:b/>
        </w:rPr>
        <w:t>approved</w:t>
      </w:r>
      <w:r>
        <w:rPr>
          <w:rFonts w:asciiTheme="minorHAnsi" w:hAnsiTheme="minorHAnsi" w:cs="Calibri"/>
        </w:rPr>
        <w:t xml:space="preserve"> </w:t>
      </w:r>
      <w:r w:rsidR="00A1284E" w:rsidRPr="00F17CE0">
        <w:rPr>
          <w:rFonts w:asciiTheme="minorHAnsi" w:hAnsiTheme="minorHAnsi" w:cs="Calibri"/>
        </w:rPr>
        <w:t xml:space="preserve">the </w:t>
      </w:r>
      <w:r w:rsidR="00A1284E">
        <w:rPr>
          <w:rFonts w:asciiTheme="minorHAnsi" w:hAnsiTheme="minorHAnsi" w:cs="Calibri"/>
        </w:rPr>
        <w:t>Capital Investment Plan</w:t>
      </w:r>
      <w:r w:rsidR="00A1284E">
        <w:rPr>
          <w:rFonts w:asciiTheme="minorHAnsi" w:hAnsiTheme="minorHAnsi" w:cs="Calibri"/>
        </w:rPr>
        <w:tab/>
      </w:r>
    </w:p>
    <w:p w14:paraId="68E248E8"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p>
    <w:p w14:paraId="4C13CE49"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6</w:t>
      </w:r>
      <w:r w:rsidRPr="00F17CE0">
        <w:rPr>
          <w:rFonts w:asciiTheme="minorHAnsi" w:hAnsiTheme="minorHAnsi" w:cs="Calibri"/>
          <w:b/>
        </w:rPr>
        <w:t>.</w:t>
      </w:r>
      <w:r w:rsidRPr="00F17CE0">
        <w:rPr>
          <w:rFonts w:asciiTheme="minorHAnsi" w:hAnsiTheme="minorHAnsi" w:cs="Calibri"/>
          <w:b/>
        </w:rPr>
        <w:tab/>
      </w:r>
      <w:r>
        <w:rPr>
          <w:rFonts w:asciiTheme="minorHAnsi" w:hAnsiTheme="minorHAnsi" w:cs="Calibri"/>
          <w:b/>
        </w:rPr>
        <w:t>CITY DEAL</w:t>
      </w:r>
      <w:r w:rsidRPr="00F17CE0">
        <w:rPr>
          <w:rFonts w:asciiTheme="minorHAnsi" w:hAnsiTheme="minorHAnsi" w:cs="Calibri"/>
          <w:b/>
        </w:rPr>
        <w:tab/>
      </w:r>
      <w:proofErr w:type="gramStart"/>
      <w:r w:rsidRPr="00F17CE0">
        <w:rPr>
          <w:rFonts w:asciiTheme="minorHAnsi" w:hAnsiTheme="minorHAnsi" w:cs="Calibri"/>
          <w:b/>
        </w:rPr>
        <w:t>UC(</w:t>
      </w:r>
      <w:proofErr w:type="gramEnd"/>
      <w:r w:rsidRPr="00F17CE0">
        <w:rPr>
          <w:rFonts w:asciiTheme="minorHAnsi" w:hAnsiTheme="minorHAnsi" w:cs="Calibri"/>
          <w:b/>
        </w:rPr>
        <w:t>1</w:t>
      </w:r>
      <w:r>
        <w:rPr>
          <w:rFonts w:asciiTheme="minorHAnsi" w:hAnsiTheme="minorHAnsi" w:cs="Calibri"/>
          <w:b/>
        </w:rPr>
        <w:t>8</w:t>
      </w:r>
      <w:r w:rsidRPr="00F17CE0">
        <w:rPr>
          <w:rFonts w:asciiTheme="minorHAnsi" w:hAnsiTheme="minorHAnsi" w:cs="Calibri"/>
          <w:b/>
        </w:rPr>
        <w:t>/1</w:t>
      </w:r>
      <w:r>
        <w:rPr>
          <w:rFonts w:asciiTheme="minorHAnsi" w:hAnsiTheme="minorHAnsi" w:cs="Calibri"/>
          <w:b/>
        </w:rPr>
        <w:t>9</w:t>
      </w:r>
      <w:r w:rsidRPr="00F17CE0">
        <w:rPr>
          <w:rFonts w:asciiTheme="minorHAnsi" w:hAnsiTheme="minorHAnsi" w:cs="Calibri"/>
          <w:b/>
        </w:rPr>
        <w:t>)</w:t>
      </w:r>
      <w:r>
        <w:rPr>
          <w:rFonts w:asciiTheme="minorHAnsi" w:hAnsiTheme="minorHAnsi" w:cs="Calibri"/>
          <w:b/>
        </w:rPr>
        <w:t>52</w:t>
      </w:r>
    </w:p>
    <w:p w14:paraId="2EDDB6D7" w14:textId="77777777" w:rsidR="000021A0" w:rsidRPr="001F5BD6" w:rsidRDefault="000021A0" w:rsidP="000021A0">
      <w:pPr>
        <w:tabs>
          <w:tab w:val="left" w:pos="709"/>
          <w:tab w:val="right" w:pos="9026"/>
        </w:tabs>
        <w:spacing w:after="0" w:line="240" w:lineRule="auto"/>
        <w:ind w:left="709"/>
        <w:contextualSpacing/>
        <w:jc w:val="both"/>
        <w:rPr>
          <w:rFonts w:cstheme="minorHAnsi"/>
        </w:rPr>
      </w:pPr>
      <w:r w:rsidRPr="001F5BD6">
        <w:rPr>
          <w:rFonts w:cs="Calibri"/>
        </w:rPr>
        <w:t>Court considered the update paper on the Stirling and Clackmannanshire City Region Deal.   The paper provided an updated on the status of the th</w:t>
      </w:r>
      <w:r w:rsidRPr="001F5BD6">
        <w:rPr>
          <w:rFonts w:cstheme="minorHAnsi"/>
        </w:rPr>
        <w:t>ree University-led projects:</w:t>
      </w:r>
    </w:p>
    <w:p w14:paraId="0ABC144D" w14:textId="77777777" w:rsidR="000021A0" w:rsidRPr="001F5BD6" w:rsidRDefault="000021A0" w:rsidP="000021A0">
      <w:pPr>
        <w:pStyle w:val="ListParagraph"/>
        <w:numPr>
          <w:ilvl w:val="0"/>
          <w:numId w:val="7"/>
        </w:numPr>
        <w:spacing w:after="0" w:line="240" w:lineRule="auto"/>
        <w:ind w:left="1429"/>
        <w:jc w:val="both"/>
        <w:rPr>
          <w:rFonts w:cstheme="minorHAnsi"/>
        </w:rPr>
      </w:pPr>
      <w:r w:rsidRPr="001F5BD6">
        <w:rPr>
          <w:rFonts w:cstheme="minorHAnsi"/>
        </w:rPr>
        <w:t>The National Aquaculture Technology and Innovation Hub (UK Government: £17m)</w:t>
      </w:r>
    </w:p>
    <w:p w14:paraId="6C63784E" w14:textId="77777777" w:rsidR="000021A0" w:rsidRPr="001F5BD6" w:rsidRDefault="000021A0" w:rsidP="000021A0">
      <w:pPr>
        <w:pStyle w:val="ListParagraph"/>
        <w:numPr>
          <w:ilvl w:val="0"/>
          <w:numId w:val="7"/>
        </w:numPr>
        <w:spacing w:after="0" w:line="240" w:lineRule="auto"/>
        <w:ind w:left="1429"/>
        <w:jc w:val="both"/>
        <w:rPr>
          <w:rFonts w:cstheme="minorHAnsi"/>
        </w:rPr>
      </w:pPr>
      <w:r w:rsidRPr="001F5BD6">
        <w:rPr>
          <w:rFonts w:cstheme="minorHAnsi"/>
        </w:rPr>
        <w:t>Scotland’s International Environment Centre (Scottish Government: £17m, UK Government: £5m)</w:t>
      </w:r>
    </w:p>
    <w:p w14:paraId="3F0B3A3A" w14:textId="77777777" w:rsidR="000021A0" w:rsidRPr="001F5BD6" w:rsidRDefault="000021A0" w:rsidP="000021A0">
      <w:pPr>
        <w:pStyle w:val="ListParagraph"/>
        <w:numPr>
          <w:ilvl w:val="0"/>
          <w:numId w:val="7"/>
        </w:numPr>
        <w:spacing w:after="0" w:line="240" w:lineRule="auto"/>
        <w:ind w:left="1429"/>
        <w:jc w:val="both"/>
        <w:rPr>
          <w:rFonts w:cstheme="minorHAnsi"/>
        </w:rPr>
      </w:pPr>
      <w:r w:rsidRPr="001F5BD6">
        <w:rPr>
          <w:rFonts w:cstheme="minorHAnsi"/>
        </w:rPr>
        <w:t>The Intergenerational Living Innovation Hub (UK Government: £TBC, £8m requested)</w:t>
      </w:r>
    </w:p>
    <w:p w14:paraId="2CC5A082" w14:textId="77777777" w:rsidR="000021A0" w:rsidRDefault="000021A0" w:rsidP="000021A0">
      <w:pPr>
        <w:tabs>
          <w:tab w:val="left" w:pos="709"/>
          <w:tab w:val="right" w:pos="9026"/>
        </w:tabs>
        <w:spacing w:after="0" w:line="240" w:lineRule="auto"/>
        <w:ind w:left="709"/>
        <w:contextualSpacing/>
        <w:jc w:val="both"/>
        <w:rPr>
          <w:rFonts w:cs="Calibri"/>
        </w:rPr>
      </w:pPr>
    </w:p>
    <w:p w14:paraId="34AB621C" w14:textId="77777777" w:rsidR="000021A0" w:rsidRPr="001F5BD6" w:rsidRDefault="001F5BD6" w:rsidP="000021A0">
      <w:pPr>
        <w:spacing w:after="0" w:line="240" w:lineRule="auto"/>
        <w:ind w:left="709"/>
        <w:jc w:val="both"/>
        <w:rPr>
          <w:rFonts w:cstheme="minorHAnsi"/>
        </w:rPr>
      </w:pPr>
      <w:r w:rsidRPr="001F5BD6">
        <w:rPr>
          <w:rFonts w:cstheme="minorHAnsi"/>
        </w:rPr>
        <w:t xml:space="preserve">It was </w:t>
      </w:r>
      <w:r w:rsidR="000021A0" w:rsidRPr="001F5BD6">
        <w:rPr>
          <w:rFonts w:cstheme="minorHAnsi"/>
        </w:rPr>
        <w:t xml:space="preserve">anticipated that the City Region Deal contract </w:t>
      </w:r>
      <w:r w:rsidRPr="001F5BD6">
        <w:rPr>
          <w:rFonts w:cstheme="minorHAnsi"/>
        </w:rPr>
        <w:t>would</w:t>
      </w:r>
      <w:r w:rsidR="000021A0" w:rsidRPr="001F5BD6">
        <w:rPr>
          <w:rFonts w:cstheme="minorHAnsi"/>
        </w:rPr>
        <w:t xml:space="preserve"> be signed by the two governments, Stirling Council, Clackmannanshire Council and the University</w:t>
      </w:r>
      <w:r w:rsidRPr="001F5BD6">
        <w:rPr>
          <w:rFonts w:cstheme="minorHAnsi"/>
        </w:rPr>
        <w:t xml:space="preserve"> during the summer.  </w:t>
      </w:r>
      <w:r w:rsidR="000021A0" w:rsidRPr="001F5BD6">
        <w:rPr>
          <w:rFonts w:cstheme="minorHAnsi"/>
        </w:rPr>
        <w:t xml:space="preserve">Following </w:t>
      </w:r>
      <w:r w:rsidR="000021A0" w:rsidRPr="001F5BD6">
        <w:rPr>
          <w:rFonts w:cstheme="minorHAnsi"/>
        </w:rPr>
        <w:lastRenderedPageBreak/>
        <w:t>signing of the City Region Deal contract, each project within it w</w:t>
      </w:r>
      <w:r w:rsidRPr="001F5BD6">
        <w:rPr>
          <w:rFonts w:cstheme="minorHAnsi"/>
        </w:rPr>
        <w:t>ould</w:t>
      </w:r>
      <w:r w:rsidR="000021A0" w:rsidRPr="001F5BD6">
        <w:rPr>
          <w:rFonts w:cstheme="minorHAnsi"/>
        </w:rPr>
        <w:t xml:space="preserve"> then </w:t>
      </w:r>
      <w:r w:rsidRPr="001F5BD6">
        <w:rPr>
          <w:rFonts w:cstheme="minorHAnsi"/>
        </w:rPr>
        <w:t xml:space="preserve">prepare </w:t>
      </w:r>
      <w:r w:rsidR="000021A0" w:rsidRPr="001F5BD6">
        <w:rPr>
          <w:rFonts w:cstheme="minorHAnsi"/>
        </w:rPr>
        <w:t>a full business case.</w:t>
      </w:r>
    </w:p>
    <w:p w14:paraId="2DDF9F92" w14:textId="77777777" w:rsidR="000021A0" w:rsidRPr="001F5BD6" w:rsidRDefault="000021A0" w:rsidP="000021A0">
      <w:pPr>
        <w:tabs>
          <w:tab w:val="left" w:pos="709"/>
          <w:tab w:val="right" w:pos="9026"/>
        </w:tabs>
        <w:spacing w:after="0" w:line="240" w:lineRule="auto"/>
        <w:ind w:left="709"/>
        <w:contextualSpacing/>
        <w:jc w:val="both"/>
        <w:rPr>
          <w:rFonts w:cs="Calibri"/>
        </w:rPr>
      </w:pPr>
    </w:p>
    <w:p w14:paraId="76F95DE1" w14:textId="77777777" w:rsidR="000021A0" w:rsidRDefault="000021A0" w:rsidP="000021A0">
      <w:pPr>
        <w:tabs>
          <w:tab w:val="left" w:pos="709"/>
          <w:tab w:val="right" w:pos="9026"/>
        </w:tabs>
        <w:spacing w:after="0" w:line="240" w:lineRule="auto"/>
        <w:ind w:left="709"/>
        <w:contextualSpacing/>
        <w:jc w:val="both"/>
        <w:rPr>
          <w:rFonts w:cs="Calibri"/>
        </w:rPr>
      </w:pPr>
      <w:r w:rsidRPr="001F5BD6">
        <w:rPr>
          <w:rFonts w:cs="Calibri"/>
        </w:rPr>
        <w:t xml:space="preserve">Court </w:t>
      </w:r>
      <w:r w:rsidRPr="001F5BD6">
        <w:rPr>
          <w:rFonts w:cs="Calibri"/>
          <w:b/>
        </w:rPr>
        <w:t>note</w:t>
      </w:r>
      <w:r w:rsidR="001F5BD6" w:rsidRPr="001F5BD6">
        <w:rPr>
          <w:rFonts w:cs="Calibri"/>
          <w:b/>
        </w:rPr>
        <w:t>d</w:t>
      </w:r>
      <w:r w:rsidRPr="001F5BD6">
        <w:rPr>
          <w:rFonts w:cs="Calibri"/>
        </w:rPr>
        <w:t xml:space="preserve"> the update on the City Deal and </w:t>
      </w:r>
      <w:r w:rsidRPr="001F5BD6">
        <w:rPr>
          <w:rFonts w:cs="Calibri"/>
          <w:b/>
        </w:rPr>
        <w:t>grant</w:t>
      </w:r>
      <w:r w:rsidR="001F5BD6" w:rsidRPr="001F5BD6">
        <w:rPr>
          <w:rFonts w:cs="Calibri"/>
          <w:b/>
        </w:rPr>
        <w:t>ed</w:t>
      </w:r>
      <w:r w:rsidRPr="001F5BD6">
        <w:rPr>
          <w:rFonts w:cs="Calibri"/>
          <w:b/>
        </w:rPr>
        <w:t xml:space="preserve"> delegated authority</w:t>
      </w:r>
      <w:r w:rsidRPr="001F5BD6">
        <w:rPr>
          <w:rFonts w:cs="Calibri"/>
        </w:rPr>
        <w:t xml:space="preserve"> to the Principal to sign the Deal Contract</w:t>
      </w:r>
      <w:r w:rsidR="001F5BD6" w:rsidRPr="001F5BD6">
        <w:rPr>
          <w:rFonts w:cs="Calibri"/>
        </w:rPr>
        <w:t xml:space="preserve"> on behalf of Court</w:t>
      </w:r>
      <w:r w:rsidRPr="001F5BD6">
        <w:rPr>
          <w:rFonts w:cs="Calibri"/>
        </w:rPr>
        <w:t>.</w:t>
      </w:r>
    </w:p>
    <w:p w14:paraId="579389A2" w14:textId="77777777" w:rsidR="000021A0" w:rsidRDefault="000021A0" w:rsidP="00A1284E">
      <w:pPr>
        <w:tabs>
          <w:tab w:val="right" w:pos="9026"/>
        </w:tabs>
        <w:spacing w:after="0" w:line="240" w:lineRule="auto"/>
        <w:ind w:left="720"/>
        <w:contextualSpacing/>
        <w:jc w:val="both"/>
        <w:rPr>
          <w:rFonts w:asciiTheme="minorHAnsi" w:hAnsiTheme="minorHAnsi" w:cs="Calibri"/>
        </w:rPr>
      </w:pPr>
    </w:p>
    <w:p w14:paraId="5213E04C"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7</w:t>
      </w:r>
      <w:r w:rsidRPr="00F17CE0">
        <w:rPr>
          <w:rFonts w:asciiTheme="minorHAnsi" w:hAnsiTheme="minorHAnsi" w:cs="Calibri"/>
          <w:b/>
        </w:rPr>
        <w:t>.</w:t>
      </w:r>
      <w:r w:rsidRPr="00F17CE0">
        <w:rPr>
          <w:rFonts w:asciiTheme="minorHAnsi" w:hAnsiTheme="minorHAnsi" w:cs="Calibri"/>
          <w:b/>
        </w:rPr>
        <w:tab/>
      </w:r>
      <w:r>
        <w:rPr>
          <w:rFonts w:asciiTheme="minorHAnsi" w:hAnsiTheme="minorHAnsi" w:cs="Calibri"/>
          <w:b/>
        </w:rPr>
        <w:t>REF 2021 CODE OF PRACTICE</w:t>
      </w:r>
      <w:r w:rsidRPr="00F17CE0">
        <w:rPr>
          <w:rFonts w:asciiTheme="minorHAnsi" w:hAnsiTheme="minorHAnsi" w:cs="Calibri"/>
          <w:b/>
        </w:rPr>
        <w:tab/>
      </w:r>
      <w:proofErr w:type="gramStart"/>
      <w:r w:rsidRPr="00F17CE0">
        <w:rPr>
          <w:rFonts w:asciiTheme="minorHAnsi" w:hAnsiTheme="minorHAnsi" w:cs="Calibri"/>
          <w:b/>
        </w:rPr>
        <w:t>UC(</w:t>
      </w:r>
      <w:proofErr w:type="gramEnd"/>
      <w:r w:rsidRPr="00F17CE0">
        <w:rPr>
          <w:rFonts w:asciiTheme="minorHAnsi" w:hAnsiTheme="minorHAnsi" w:cs="Calibri"/>
          <w:b/>
        </w:rPr>
        <w:t>1</w:t>
      </w:r>
      <w:r>
        <w:rPr>
          <w:rFonts w:asciiTheme="minorHAnsi" w:hAnsiTheme="minorHAnsi" w:cs="Calibri"/>
          <w:b/>
        </w:rPr>
        <w:t>8</w:t>
      </w:r>
      <w:r w:rsidRPr="00F17CE0">
        <w:rPr>
          <w:rFonts w:asciiTheme="minorHAnsi" w:hAnsiTheme="minorHAnsi" w:cs="Calibri"/>
          <w:b/>
        </w:rPr>
        <w:t>/1</w:t>
      </w:r>
      <w:r>
        <w:rPr>
          <w:rFonts w:asciiTheme="minorHAnsi" w:hAnsiTheme="minorHAnsi" w:cs="Calibri"/>
          <w:b/>
        </w:rPr>
        <w:t>9</w:t>
      </w:r>
      <w:r w:rsidRPr="00F17CE0">
        <w:rPr>
          <w:rFonts w:asciiTheme="minorHAnsi" w:hAnsiTheme="minorHAnsi" w:cs="Calibri"/>
          <w:b/>
        </w:rPr>
        <w:t>)</w:t>
      </w:r>
      <w:r>
        <w:rPr>
          <w:rFonts w:asciiTheme="minorHAnsi" w:hAnsiTheme="minorHAnsi" w:cs="Calibri"/>
          <w:b/>
        </w:rPr>
        <w:t>53</w:t>
      </w:r>
    </w:p>
    <w:p w14:paraId="5F909248" w14:textId="77777777" w:rsidR="00A1284E" w:rsidRDefault="00FD3DA7" w:rsidP="00A1284E">
      <w:pPr>
        <w:tabs>
          <w:tab w:val="right" w:pos="9026"/>
        </w:tabs>
        <w:spacing w:after="0" w:line="240" w:lineRule="auto"/>
        <w:ind w:left="720"/>
        <w:contextualSpacing/>
        <w:jc w:val="both"/>
        <w:rPr>
          <w:rFonts w:asciiTheme="minorHAnsi" w:hAnsiTheme="minorHAnsi" w:cs="Calibri"/>
        </w:rPr>
      </w:pPr>
      <w:r>
        <w:rPr>
          <w:rFonts w:asciiTheme="minorHAnsi" w:hAnsiTheme="minorHAnsi" w:cs="Calibri"/>
        </w:rPr>
        <w:t xml:space="preserve">Court considered the REF2021 Code of Practice setting out the principles and procedures </w:t>
      </w:r>
      <w:r w:rsidR="00981693">
        <w:rPr>
          <w:rFonts w:asciiTheme="minorHAnsi" w:hAnsiTheme="minorHAnsi" w:cs="Calibri"/>
        </w:rPr>
        <w:t>the University would use to de</w:t>
      </w:r>
      <w:r>
        <w:rPr>
          <w:rFonts w:asciiTheme="minorHAnsi" w:hAnsiTheme="minorHAnsi" w:cs="Calibri"/>
        </w:rPr>
        <w:t xml:space="preserve">velop its submission to the 2021 Research Excellence Framework (REF2021).  The Code of Practice had already been submitted to the Scottish Funding Council.  </w:t>
      </w:r>
      <w:r w:rsidR="00342EF4">
        <w:rPr>
          <w:rFonts w:asciiTheme="minorHAnsi" w:hAnsiTheme="minorHAnsi" w:cs="Calibri"/>
        </w:rPr>
        <w:t xml:space="preserve">The document built on the previous REF2014 Code of Practice, the main changes </w:t>
      </w:r>
      <w:r w:rsidR="00776DBA">
        <w:rPr>
          <w:rFonts w:asciiTheme="minorHAnsi" w:hAnsiTheme="minorHAnsi" w:cs="Calibri"/>
        </w:rPr>
        <w:t>to</w:t>
      </w:r>
      <w:r w:rsidR="00981693">
        <w:rPr>
          <w:rFonts w:asciiTheme="minorHAnsi" w:hAnsiTheme="minorHAnsi" w:cs="Calibri"/>
        </w:rPr>
        <w:t xml:space="preserve"> the current version </w:t>
      </w:r>
      <w:r w:rsidR="00342EF4">
        <w:rPr>
          <w:rFonts w:asciiTheme="minorHAnsi" w:hAnsiTheme="minorHAnsi" w:cs="Calibri"/>
        </w:rPr>
        <w:t xml:space="preserve">related to the </w:t>
      </w:r>
      <w:r w:rsidR="00776DBA">
        <w:rPr>
          <w:rFonts w:asciiTheme="minorHAnsi" w:hAnsiTheme="minorHAnsi" w:cs="Calibri"/>
        </w:rPr>
        <w:t xml:space="preserve">new </w:t>
      </w:r>
      <w:r w:rsidR="00342EF4">
        <w:rPr>
          <w:rFonts w:asciiTheme="minorHAnsi" w:hAnsiTheme="minorHAnsi" w:cs="Calibri"/>
        </w:rPr>
        <w:t xml:space="preserve">REF2021 </w:t>
      </w:r>
      <w:r w:rsidR="00981693">
        <w:rPr>
          <w:rFonts w:asciiTheme="minorHAnsi" w:hAnsiTheme="minorHAnsi" w:cs="Calibri"/>
        </w:rPr>
        <w:t xml:space="preserve">rules </w:t>
      </w:r>
      <w:r w:rsidR="00776DBA">
        <w:rPr>
          <w:rFonts w:asciiTheme="minorHAnsi" w:hAnsiTheme="minorHAnsi" w:cs="Calibri"/>
        </w:rPr>
        <w:t xml:space="preserve">requiring </w:t>
      </w:r>
      <w:r w:rsidR="00342EF4">
        <w:rPr>
          <w:rFonts w:asciiTheme="minorHAnsi" w:hAnsiTheme="minorHAnsi" w:cs="Calibri"/>
        </w:rPr>
        <w:t xml:space="preserve">100% of eligible staff </w:t>
      </w:r>
      <w:r w:rsidR="00776DBA">
        <w:rPr>
          <w:rFonts w:asciiTheme="minorHAnsi" w:hAnsiTheme="minorHAnsi" w:cs="Calibri"/>
        </w:rPr>
        <w:t>to</w:t>
      </w:r>
      <w:r w:rsidR="00342EF4">
        <w:rPr>
          <w:rFonts w:asciiTheme="minorHAnsi" w:hAnsiTheme="minorHAnsi" w:cs="Calibri"/>
        </w:rPr>
        <w:t xml:space="preserve"> be submitted.  </w:t>
      </w:r>
    </w:p>
    <w:p w14:paraId="4848C9B8" w14:textId="77777777" w:rsidR="00981693" w:rsidRDefault="00981693" w:rsidP="00A1284E">
      <w:pPr>
        <w:tabs>
          <w:tab w:val="right" w:pos="9026"/>
        </w:tabs>
        <w:spacing w:after="0" w:line="240" w:lineRule="auto"/>
        <w:ind w:left="720"/>
        <w:contextualSpacing/>
        <w:jc w:val="both"/>
        <w:rPr>
          <w:rFonts w:asciiTheme="minorHAnsi" w:hAnsiTheme="minorHAnsi" w:cs="Calibri"/>
        </w:rPr>
      </w:pPr>
    </w:p>
    <w:p w14:paraId="2B6F7176" w14:textId="77777777" w:rsidR="00981693" w:rsidRPr="00F17CE0" w:rsidRDefault="00981693" w:rsidP="00A1284E">
      <w:pPr>
        <w:tabs>
          <w:tab w:val="right" w:pos="9026"/>
        </w:tabs>
        <w:spacing w:after="0" w:line="240" w:lineRule="auto"/>
        <w:ind w:left="720"/>
        <w:contextualSpacing/>
        <w:jc w:val="both"/>
        <w:rPr>
          <w:rFonts w:asciiTheme="minorHAnsi" w:hAnsiTheme="minorHAnsi" w:cs="Calibri"/>
        </w:rPr>
      </w:pPr>
      <w:r>
        <w:rPr>
          <w:rFonts w:asciiTheme="minorHAnsi" w:hAnsiTheme="minorHAnsi" w:cs="Calibri"/>
        </w:rPr>
        <w:t xml:space="preserve">Court retrospectively </w:t>
      </w:r>
      <w:r w:rsidRPr="00981693">
        <w:rPr>
          <w:rFonts w:asciiTheme="minorHAnsi" w:hAnsiTheme="minorHAnsi" w:cs="Calibri"/>
          <w:b/>
        </w:rPr>
        <w:t>approved</w:t>
      </w:r>
      <w:r>
        <w:rPr>
          <w:rFonts w:asciiTheme="minorHAnsi" w:hAnsiTheme="minorHAnsi" w:cs="Calibri"/>
        </w:rPr>
        <w:t xml:space="preserve"> the REF2021 Code of Practice</w:t>
      </w:r>
    </w:p>
    <w:p w14:paraId="6D6078A2" w14:textId="77777777" w:rsidR="00A1284E" w:rsidRDefault="00A1284E" w:rsidP="00A1284E">
      <w:pPr>
        <w:tabs>
          <w:tab w:val="left" w:pos="709"/>
          <w:tab w:val="right" w:pos="9026"/>
        </w:tabs>
        <w:spacing w:after="0" w:line="240" w:lineRule="auto"/>
        <w:contextualSpacing/>
        <w:rPr>
          <w:rFonts w:asciiTheme="minorHAnsi" w:hAnsiTheme="minorHAnsi" w:cs="Calibri"/>
          <w:b/>
        </w:rPr>
      </w:pPr>
    </w:p>
    <w:p w14:paraId="2900C49B"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8</w:t>
      </w:r>
      <w:r w:rsidRPr="00F17CE0">
        <w:rPr>
          <w:rFonts w:asciiTheme="minorHAnsi" w:hAnsiTheme="minorHAnsi" w:cs="Calibri"/>
          <w:b/>
        </w:rPr>
        <w:t>.</w:t>
      </w:r>
      <w:r w:rsidRPr="00F17CE0">
        <w:rPr>
          <w:rFonts w:asciiTheme="minorHAnsi" w:hAnsiTheme="minorHAnsi" w:cs="Calibri"/>
          <w:b/>
        </w:rPr>
        <w:tab/>
      </w:r>
      <w:r>
        <w:rPr>
          <w:rFonts w:asciiTheme="minorHAnsi" w:hAnsiTheme="minorHAnsi" w:cs="Calibri"/>
          <w:b/>
        </w:rPr>
        <w:t>LEARNING &amp; TEACHING QUALITY ENHANCEMENT STRATEGY</w:t>
      </w:r>
      <w:r w:rsidRPr="00F17CE0">
        <w:rPr>
          <w:rFonts w:asciiTheme="minorHAnsi" w:hAnsiTheme="minorHAnsi" w:cs="Calibri"/>
          <w:b/>
        </w:rPr>
        <w:tab/>
      </w:r>
      <w:proofErr w:type="gramStart"/>
      <w:r w:rsidRPr="00F17CE0">
        <w:rPr>
          <w:rFonts w:asciiTheme="minorHAnsi" w:hAnsiTheme="minorHAnsi" w:cs="Calibri"/>
          <w:b/>
        </w:rPr>
        <w:t>UC(</w:t>
      </w:r>
      <w:proofErr w:type="gramEnd"/>
      <w:r w:rsidRPr="00F17CE0">
        <w:rPr>
          <w:rFonts w:asciiTheme="minorHAnsi" w:hAnsiTheme="minorHAnsi" w:cs="Calibri"/>
          <w:b/>
        </w:rPr>
        <w:t>1</w:t>
      </w:r>
      <w:r>
        <w:rPr>
          <w:rFonts w:asciiTheme="minorHAnsi" w:hAnsiTheme="minorHAnsi" w:cs="Calibri"/>
          <w:b/>
        </w:rPr>
        <w:t>8</w:t>
      </w:r>
      <w:r w:rsidRPr="00F17CE0">
        <w:rPr>
          <w:rFonts w:asciiTheme="minorHAnsi" w:hAnsiTheme="minorHAnsi" w:cs="Calibri"/>
          <w:b/>
        </w:rPr>
        <w:t>/1</w:t>
      </w:r>
      <w:r>
        <w:rPr>
          <w:rFonts w:asciiTheme="minorHAnsi" w:hAnsiTheme="minorHAnsi" w:cs="Calibri"/>
          <w:b/>
        </w:rPr>
        <w:t>9</w:t>
      </w:r>
      <w:r w:rsidRPr="00F17CE0">
        <w:rPr>
          <w:rFonts w:asciiTheme="minorHAnsi" w:hAnsiTheme="minorHAnsi" w:cs="Calibri"/>
          <w:b/>
        </w:rPr>
        <w:t>)</w:t>
      </w:r>
      <w:r>
        <w:rPr>
          <w:rFonts w:asciiTheme="minorHAnsi" w:hAnsiTheme="minorHAnsi" w:cs="Calibri"/>
          <w:b/>
        </w:rPr>
        <w:t>54</w:t>
      </w:r>
    </w:p>
    <w:p w14:paraId="1D833B90" w14:textId="77777777" w:rsidR="005A6DB5" w:rsidRPr="005A6DB5" w:rsidRDefault="005A6DB5" w:rsidP="005A6DB5">
      <w:pPr>
        <w:spacing w:after="0" w:line="240" w:lineRule="auto"/>
        <w:ind w:left="720"/>
        <w:jc w:val="both"/>
        <w:rPr>
          <w:rFonts w:cs="Calibri"/>
        </w:rPr>
      </w:pPr>
      <w:r w:rsidRPr="005A6DB5">
        <w:rPr>
          <w:rFonts w:cs="Calibri"/>
        </w:rPr>
        <w:t>Court considered the Learning &amp; Teaching Quality and Enhancement Strategy.</w:t>
      </w:r>
    </w:p>
    <w:p w14:paraId="4E90C134" w14:textId="77777777" w:rsidR="005A6DB5" w:rsidRDefault="005A6DB5" w:rsidP="005A6DB5">
      <w:pPr>
        <w:spacing w:after="0" w:line="240" w:lineRule="auto"/>
        <w:ind w:left="720"/>
        <w:jc w:val="both"/>
        <w:rPr>
          <w:rFonts w:cs="Calibri"/>
        </w:rPr>
      </w:pPr>
    </w:p>
    <w:p w14:paraId="2250C315" w14:textId="77777777" w:rsidR="005A6DB5" w:rsidRDefault="005A6DB5" w:rsidP="005A6DB5">
      <w:pPr>
        <w:spacing w:after="0" w:line="240" w:lineRule="auto"/>
        <w:ind w:left="720"/>
        <w:jc w:val="both"/>
        <w:rPr>
          <w:rFonts w:cs="Calibri"/>
        </w:rPr>
      </w:pPr>
      <w:r>
        <w:rPr>
          <w:rFonts w:cs="Calibri"/>
        </w:rPr>
        <w:t>The strategy encompassed six themes: engagement, curriculum, assessment and feedback, excellent teaching, resources and spaces for learning and teaching, and development and support.  Each theme had a set of associated aims and actions.</w:t>
      </w:r>
    </w:p>
    <w:p w14:paraId="0F58B248" w14:textId="77777777" w:rsidR="005A6DB5" w:rsidRDefault="005A6DB5" w:rsidP="005A6DB5">
      <w:pPr>
        <w:spacing w:after="0" w:line="240" w:lineRule="auto"/>
        <w:ind w:left="720"/>
        <w:jc w:val="both"/>
        <w:rPr>
          <w:rFonts w:cs="Calibri"/>
        </w:rPr>
      </w:pPr>
    </w:p>
    <w:p w14:paraId="58BC29BB" w14:textId="77777777" w:rsidR="005A6DB5" w:rsidRDefault="005A6DB5" w:rsidP="005A6DB5">
      <w:pPr>
        <w:tabs>
          <w:tab w:val="right" w:pos="9026"/>
        </w:tabs>
        <w:spacing w:after="0" w:line="240" w:lineRule="auto"/>
        <w:ind w:left="720"/>
        <w:contextualSpacing/>
        <w:jc w:val="both"/>
        <w:rPr>
          <w:rFonts w:asciiTheme="minorHAnsi" w:hAnsiTheme="minorHAnsi" w:cs="Calibri"/>
        </w:rPr>
      </w:pPr>
      <w:r>
        <w:rPr>
          <w:rFonts w:asciiTheme="minorHAnsi" w:hAnsiTheme="minorHAnsi" w:cs="Calibri"/>
        </w:rPr>
        <w:t xml:space="preserve">Court </w:t>
      </w:r>
      <w:r w:rsidRPr="00AD7525">
        <w:rPr>
          <w:rFonts w:asciiTheme="minorHAnsi" w:hAnsiTheme="minorHAnsi" w:cs="Calibri"/>
          <w:b/>
        </w:rPr>
        <w:t>approve</w:t>
      </w:r>
      <w:r>
        <w:rPr>
          <w:rFonts w:asciiTheme="minorHAnsi" w:hAnsiTheme="minorHAnsi" w:cs="Calibri"/>
          <w:b/>
        </w:rPr>
        <w:t>d</w:t>
      </w:r>
      <w:r w:rsidRPr="00F17CE0">
        <w:rPr>
          <w:rFonts w:asciiTheme="minorHAnsi" w:hAnsiTheme="minorHAnsi" w:cs="Calibri"/>
        </w:rPr>
        <w:t xml:space="preserve"> the </w:t>
      </w:r>
      <w:r>
        <w:rPr>
          <w:rFonts w:asciiTheme="minorHAnsi" w:hAnsiTheme="minorHAnsi" w:cs="Calibri"/>
        </w:rPr>
        <w:t>Learning &amp; Teaching Quality Enhancement Strategy.</w:t>
      </w:r>
    </w:p>
    <w:p w14:paraId="4599BFE7" w14:textId="77777777" w:rsidR="00A1284E" w:rsidRDefault="00A1284E" w:rsidP="00A1284E">
      <w:pPr>
        <w:tabs>
          <w:tab w:val="left" w:pos="709"/>
          <w:tab w:val="right" w:pos="9026"/>
        </w:tabs>
        <w:spacing w:after="0" w:line="240" w:lineRule="auto"/>
        <w:contextualSpacing/>
        <w:rPr>
          <w:rFonts w:cs="Calibri"/>
          <w:b/>
          <w:i/>
        </w:rPr>
      </w:pPr>
    </w:p>
    <w:p w14:paraId="3663DA02" w14:textId="77777777" w:rsidR="00A1284E" w:rsidRPr="00F17CE0" w:rsidRDefault="00A1284E" w:rsidP="00A1284E">
      <w:pPr>
        <w:tabs>
          <w:tab w:val="left" w:pos="709"/>
          <w:tab w:val="right" w:pos="9026"/>
        </w:tabs>
        <w:spacing w:after="0" w:line="240" w:lineRule="auto"/>
        <w:contextualSpacing/>
        <w:rPr>
          <w:rFonts w:cs="Calibri"/>
          <w:b/>
          <w:i/>
        </w:rPr>
      </w:pPr>
      <w:r w:rsidRPr="00F17CE0">
        <w:rPr>
          <w:rFonts w:cs="Calibri"/>
          <w:b/>
          <w:i/>
        </w:rPr>
        <w:t>GOVERNANCE</w:t>
      </w:r>
    </w:p>
    <w:p w14:paraId="2FAF5771"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p>
    <w:p w14:paraId="74BA6649"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9</w:t>
      </w:r>
      <w:r w:rsidRPr="00F17CE0">
        <w:rPr>
          <w:rFonts w:asciiTheme="minorHAnsi" w:hAnsiTheme="minorHAnsi" w:cs="Calibri"/>
          <w:b/>
        </w:rPr>
        <w:t>.</w:t>
      </w:r>
      <w:r w:rsidRPr="00F17CE0">
        <w:rPr>
          <w:rFonts w:asciiTheme="minorHAnsi" w:hAnsiTheme="minorHAnsi" w:cs="Calibri"/>
          <w:b/>
        </w:rPr>
        <w:tab/>
      </w:r>
      <w:r>
        <w:rPr>
          <w:rFonts w:asciiTheme="minorHAnsi" w:hAnsiTheme="minorHAnsi" w:cs="Calibri"/>
          <w:b/>
        </w:rPr>
        <w:t>SPECIAL RESOLUTION - CHARTER AND STATUTES</w:t>
      </w:r>
      <w:r w:rsidRPr="00F17CE0">
        <w:rPr>
          <w:rFonts w:asciiTheme="minorHAnsi" w:hAnsiTheme="minorHAnsi" w:cs="Calibri"/>
          <w:b/>
        </w:rPr>
        <w:tab/>
      </w:r>
      <w:proofErr w:type="gramStart"/>
      <w:r w:rsidRPr="00F17CE0">
        <w:rPr>
          <w:rFonts w:asciiTheme="minorHAnsi" w:hAnsiTheme="minorHAnsi" w:cs="Calibri"/>
          <w:b/>
        </w:rPr>
        <w:t>UC(</w:t>
      </w:r>
      <w:proofErr w:type="gramEnd"/>
      <w:r w:rsidRPr="00F17CE0">
        <w:rPr>
          <w:rFonts w:asciiTheme="minorHAnsi" w:hAnsiTheme="minorHAnsi" w:cs="Calibri"/>
          <w:b/>
        </w:rPr>
        <w:t>1</w:t>
      </w:r>
      <w:r>
        <w:rPr>
          <w:rFonts w:asciiTheme="minorHAnsi" w:hAnsiTheme="minorHAnsi" w:cs="Calibri"/>
          <w:b/>
        </w:rPr>
        <w:t>8</w:t>
      </w:r>
      <w:r w:rsidRPr="00F17CE0">
        <w:rPr>
          <w:rFonts w:asciiTheme="minorHAnsi" w:hAnsiTheme="minorHAnsi" w:cs="Calibri"/>
          <w:b/>
        </w:rPr>
        <w:t>/1</w:t>
      </w:r>
      <w:r>
        <w:rPr>
          <w:rFonts w:asciiTheme="minorHAnsi" w:hAnsiTheme="minorHAnsi" w:cs="Calibri"/>
          <w:b/>
        </w:rPr>
        <w:t>9</w:t>
      </w:r>
      <w:r w:rsidRPr="00F17CE0">
        <w:rPr>
          <w:rFonts w:asciiTheme="minorHAnsi" w:hAnsiTheme="minorHAnsi" w:cs="Calibri"/>
          <w:b/>
        </w:rPr>
        <w:t>)</w:t>
      </w:r>
      <w:r>
        <w:rPr>
          <w:rFonts w:asciiTheme="minorHAnsi" w:hAnsiTheme="minorHAnsi" w:cs="Calibri"/>
          <w:b/>
        </w:rPr>
        <w:t>55</w:t>
      </w:r>
    </w:p>
    <w:p w14:paraId="2DF2EF5D" w14:textId="77777777" w:rsidR="00823091" w:rsidRDefault="00823091" w:rsidP="00823091">
      <w:pPr>
        <w:tabs>
          <w:tab w:val="right" w:pos="9026"/>
        </w:tabs>
        <w:spacing w:after="0" w:line="240" w:lineRule="auto"/>
        <w:ind w:left="720"/>
        <w:contextualSpacing/>
        <w:jc w:val="both"/>
        <w:rPr>
          <w:rFonts w:asciiTheme="minorHAnsi" w:hAnsiTheme="minorHAnsi" w:cs="Calibri"/>
        </w:rPr>
      </w:pPr>
      <w:r w:rsidRPr="00823091">
        <w:rPr>
          <w:rFonts w:asciiTheme="minorHAnsi" w:hAnsiTheme="minorHAnsi" w:cs="Calibri"/>
        </w:rPr>
        <w:t>Court considered the proposed amendments to the Charter and Statutes.  The amendments</w:t>
      </w:r>
      <w:r>
        <w:rPr>
          <w:rFonts w:asciiTheme="minorHAnsi" w:hAnsiTheme="minorHAnsi" w:cs="Calibri"/>
        </w:rPr>
        <w:t xml:space="preserve"> to the Charter and Statutes were required as a consequence of the HE Governance (Scotland) Act 2016.  Agreement had been reached in principle with both the Scottish Government and OSCR on the proposed amendments to the Charter and Statutes.   Following the meeting of Court the proposed amendments would be publicised within the University for 28 days prior to</w:t>
      </w:r>
      <w:r w:rsidR="00A443BC">
        <w:rPr>
          <w:rFonts w:asciiTheme="minorHAnsi" w:hAnsiTheme="minorHAnsi" w:cs="Calibri"/>
        </w:rPr>
        <w:t xml:space="preserve"> the submission of</w:t>
      </w:r>
      <w:r>
        <w:rPr>
          <w:rFonts w:asciiTheme="minorHAnsi" w:hAnsiTheme="minorHAnsi" w:cs="Calibri"/>
        </w:rPr>
        <w:t xml:space="preserve"> the changes to the Privy Council. </w:t>
      </w:r>
    </w:p>
    <w:p w14:paraId="5BD58B8A" w14:textId="77777777" w:rsidR="00823091" w:rsidRDefault="00823091" w:rsidP="00823091">
      <w:pPr>
        <w:tabs>
          <w:tab w:val="right" w:pos="9026"/>
        </w:tabs>
        <w:spacing w:after="0" w:line="240" w:lineRule="auto"/>
        <w:ind w:left="720"/>
        <w:contextualSpacing/>
        <w:jc w:val="both"/>
        <w:rPr>
          <w:rFonts w:asciiTheme="minorHAnsi" w:hAnsiTheme="minorHAnsi" w:cs="Calibri"/>
        </w:rPr>
      </w:pPr>
    </w:p>
    <w:p w14:paraId="2A571549" w14:textId="77777777" w:rsidR="00823091" w:rsidRDefault="00823091" w:rsidP="00823091">
      <w:pPr>
        <w:tabs>
          <w:tab w:val="right" w:pos="9026"/>
        </w:tabs>
        <w:spacing w:after="0" w:line="240" w:lineRule="auto"/>
        <w:ind w:left="720"/>
        <w:contextualSpacing/>
        <w:jc w:val="both"/>
        <w:rPr>
          <w:rFonts w:asciiTheme="minorHAnsi" w:hAnsiTheme="minorHAnsi" w:cs="Calibri"/>
        </w:rPr>
      </w:pPr>
      <w:r>
        <w:rPr>
          <w:rFonts w:asciiTheme="minorHAnsi" w:hAnsiTheme="minorHAnsi" w:cs="Calibri"/>
        </w:rPr>
        <w:t xml:space="preserve">Thereafter, with the support of Academic Council, Court </w:t>
      </w:r>
      <w:r w:rsidRPr="00823091">
        <w:rPr>
          <w:rFonts w:asciiTheme="minorHAnsi" w:hAnsiTheme="minorHAnsi" w:cs="Calibri"/>
          <w:b/>
        </w:rPr>
        <w:t>agreed</w:t>
      </w:r>
      <w:r>
        <w:rPr>
          <w:rFonts w:asciiTheme="minorHAnsi" w:hAnsiTheme="minorHAnsi" w:cs="Calibri"/>
        </w:rPr>
        <w:t xml:space="preserve"> to:</w:t>
      </w:r>
    </w:p>
    <w:p w14:paraId="69D8576D" w14:textId="77777777" w:rsidR="00823091" w:rsidRDefault="00823091" w:rsidP="00823091">
      <w:pPr>
        <w:pStyle w:val="ListParagraph"/>
        <w:numPr>
          <w:ilvl w:val="1"/>
          <w:numId w:val="9"/>
        </w:numPr>
        <w:spacing w:after="0" w:line="240" w:lineRule="auto"/>
        <w:jc w:val="both"/>
        <w:rPr>
          <w:rFonts w:cs="Calibri"/>
        </w:rPr>
      </w:pPr>
      <w:r w:rsidRPr="00DC7A81">
        <w:rPr>
          <w:rFonts w:cs="Calibri"/>
          <w:b/>
        </w:rPr>
        <w:t>make a Special Resolution</w:t>
      </w:r>
      <w:r w:rsidRPr="00C57ADF">
        <w:rPr>
          <w:rFonts w:cs="Calibri"/>
        </w:rPr>
        <w:t xml:space="preserve"> to amend the Royal Charter as set out in the</w:t>
      </w:r>
      <w:r>
        <w:rPr>
          <w:rFonts w:cs="Calibri"/>
        </w:rPr>
        <w:t xml:space="preserve"> paper provided, </w:t>
      </w:r>
      <w:r w:rsidRPr="00C57ADF">
        <w:rPr>
          <w:rFonts w:cs="Calibri"/>
        </w:rPr>
        <w:t>subject to such further amendments as the Lords of Her Ma</w:t>
      </w:r>
      <w:r>
        <w:rPr>
          <w:rFonts w:cs="Calibri"/>
        </w:rPr>
        <w:t>j</w:t>
      </w:r>
      <w:r w:rsidRPr="00C57ADF">
        <w:rPr>
          <w:rFonts w:cs="Calibri"/>
        </w:rPr>
        <w:t>esty’s Privy Council may require and as are agreed by the University</w:t>
      </w:r>
      <w:r>
        <w:rPr>
          <w:rFonts w:cs="Calibri"/>
        </w:rPr>
        <w:t>.</w:t>
      </w:r>
    </w:p>
    <w:p w14:paraId="2B9EDC7F" w14:textId="77777777" w:rsidR="00823091" w:rsidRDefault="00823091" w:rsidP="00823091">
      <w:pPr>
        <w:pStyle w:val="ListParagraph"/>
        <w:spacing w:after="0" w:line="240" w:lineRule="auto"/>
        <w:ind w:left="1440"/>
        <w:jc w:val="both"/>
        <w:rPr>
          <w:rFonts w:cs="Calibri"/>
        </w:rPr>
      </w:pPr>
    </w:p>
    <w:p w14:paraId="087DBD32" w14:textId="77777777" w:rsidR="00823091" w:rsidRPr="00C57ADF" w:rsidRDefault="00823091" w:rsidP="00823091">
      <w:pPr>
        <w:pStyle w:val="ListParagraph"/>
        <w:numPr>
          <w:ilvl w:val="1"/>
          <w:numId w:val="9"/>
        </w:numPr>
        <w:spacing w:after="0" w:line="240" w:lineRule="auto"/>
        <w:jc w:val="both"/>
        <w:rPr>
          <w:rFonts w:cs="Calibri"/>
        </w:rPr>
      </w:pPr>
      <w:r w:rsidRPr="00DC7A81">
        <w:rPr>
          <w:rFonts w:cs="Calibri"/>
          <w:b/>
        </w:rPr>
        <w:t>make a Special Resolution</w:t>
      </w:r>
      <w:r w:rsidRPr="00C57ADF">
        <w:rPr>
          <w:rFonts w:cs="Calibri"/>
        </w:rPr>
        <w:t xml:space="preserve"> to amend the </w:t>
      </w:r>
      <w:r>
        <w:rPr>
          <w:rFonts w:cs="Calibri"/>
        </w:rPr>
        <w:t>Statutes</w:t>
      </w:r>
      <w:r w:rsidRPr="00C57ADF">
        <w:rPr>
          <w:rFonts w:cs="Calibri"/>
        </w:rPr>
        <w:t xml:space="preserve"> as set out in the paper</w:t>
      </w:r>
      <w:r>
        <w:rPr>
          <w:rFonts w:cs="Calibri"/>
        </w:rPr>
        <w:t xml:space="preserve"> provided</w:t>
      </w:r>
      <w:r w:rsidRPr="00C57ADF">
        <w:rPr>
          <w:rFonts w:cs="Calibri"/>
        </w:rPr>
        <w:t>, subject to such further amendments as the Lords of Her Ma</w:t>
      </w:r>
      <w:r>
        <w:rPr>
          <w:rFonts w:cs="Calibri"/>
        </w:rPr>
        <w:t>j</w:t>
      </w:r>
      <w:r w:rsidRPr="00C57ADF">
        <w:rPr>
          <w:rFonts w:cs="Calibri"/>
        </w:rPr>
        <w:t>esty’s Privy Council may require and as are agreed by the University</w:t>
      </w:r>
      <w:r w:rsidR="00870D91">
        <w:rPr>
          <w:rFonts w:cs="Calibri"/>
        </w:rPr>
        <w:t>.</w:t>
      </w:r>
      <w:r w:rsidRPr="00C57ADF">
        <w:rPr>
          <w:rFonts w:cs="Calibri"/>
        </w:rPr>
        <w:t xml:space="preserve"> </w:t>
      </w:r>
    </w:p>
    <w:p w14:paraId="5ACFDE76" w14:textId="77777777" w:rsidR="00A1284E" w:rsidRDefault="00A1284E" w:rsidP="00A1284E">
      <w:pPr>
        <w:tabs>
          <w:tab w:val="left" w:pos="709"/>
          <w:tab w:val="right" w:pos="9026"/>
        </w:tabs>
        <w:spacing w:after="0" w:line="240" w:lineRule="auto"/>
        <w:contextualSpacing/>
        <w:rPr>
          <w:rFonts w:asciiTheme="minorHAnsi" w:hAnsiTheme="minorHAnsi" w:cs="Calibri"/>
          <w:b/>
        </w:rPr>
      </w:pPr>
    </w:p>
    <w:p w14:paraId="739630A7"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10</w:t>
      </w:r>
      <w:r w:rsidRPr="00F17CE0">
        <w:rPr>
          <w:rFonts w:asciiTheme="minorHAnsi" w:hAnsiTheme="minorHAnsi" w:cs="Calibri"/>
          <w:b/>
        </w:rPr>
        <w:t>.</w:t>
      </w:r>
      <w:r w:rsidRPr="00F17CE0">
        <w:rPr>
          <w:rFonts w:asciiTheme="minorHAnsi" w:hAnsiTheme="minorHAnsi" w:cs="Calibri"/>
          <w:b/>
        </w:rPr>
        <w:tab/>
      </w:r>
      <w:r>
        <w:rPr>
          <w:rFonts w:asciiTheme="minorHAnsi" w:hAnsiTheme="minorHAnsi" w:cs="Calibri"/>
          <w:b/>
        </w:rPr>
        <w:t>FREEDOM TO SPEAK UP (WHISTLEBLOWING) POLICY</w:t>
      </w:r>
      <w:r w:rsidRPr="00F17CE0">
        <w:rPr>
          <w:rFonts w:asciiTheme="minorHAnsi" w:hAnsiTheme="minorHAnsi" w:cs="Calibri"/>
          <w:b/>
        </w:rPr>
        <w:tab/>
      </w:r>
      <w:proofErr w:type="gramStart"/>
      <w:r w:rsidRPr="00F17CE0">
        <w:rPr>
          <w:rFonts w:asciiTheme="minorHAnsi" w:hAnsiTheme="minorHAnsi" w:cs="Calibri"/>
          <w:b/>
        </w:rPr>
        <w:t>UC(</w:t>
      </w:r>
      <w:proofErr w:type="gramEnd"/>
      <w:r w:rsidRPr="00F17CE0">
        <w:rPr>
          <w:rFonts w:asciiTheme="minorHAnsi" w:hAnsiTheme="minorHAnsi" w:cs="Calibri"/>
          <w:b/>
        </w:rPr>
        <w:t>1</w:t>
      </w:r>
      <w:r>
        <w:rPr>
          <w:rFonts w:asciiTheme="minorHAnsi" w:hAnsiTheme="minorHAnsi" w:cs="Calibri"/>
          <w:b/>
        </w:rPr>
        <w:t>8</w:t>
      </w:r>
      <w:r w:rsidRPr="00F17CE0">
        <w:rPr>
          <w:rFonts w:asciiTheme="minorHAnsi" w:hAnsiTheme="minorHAnsi" w:cs="Calibri"/>
          <w:b/>
        </w:rPr>
        <w:t>/1</w:t>
      </w:r>
      <w:r>
        <w:rPr>
          <w:rFonts w:asciiTheme="minorHAnsi" w:hAnsiTheme="minorHAnsi" w:cs="Calibri"/>
          <w:b/>
        </w:rPr>
        <w:t>9</w:t>
      </w:r>
      <w:r w:rsidRPr="00F17CE0">
        <w:rPr>
          <w:rFonts w:asciiTheme="minorHAnsi" w:hAnsiTheme="minorHAnsi" w:cs="Calibri"/>
          <w:b/>
        </w:rPr>
        <w:t>)</w:t>
      </w:r>
      <w:r>
        <w:rPr>
          <w:rFonts w:asciiTheme="minorHAnsi" w:hAnsiTheme="minorHAnsi" w:cs="Calibri"/>
          <w:b/>
        </w:rPr>
        <w:t>56</w:t>
      </w:r>
    </w:p>
    <w:p w14:paraId="63D56410" w14:textId="77777777" w:rsidR="00D63B5A" w:rsidRDefault="00D63B5A" w:rsidP="00D63B5A">
      <w:pPr>
        <w:tabs>
          <w:tab w:val="right" w:pos="9026"/>
        </w:tabs>
        <w:spacing w:after="0" w:line="240" w:lineRule="auto"/>
        <w:ind w:left="720"/>
        <w:contextualSpacing/>
        <w:jc w:val="both"/>
        <w:rPr>
          <w:rFonts w:asciiTheme="minorHAnsi" w:hAnsiTheme="minorHAnsi" w:cs="Calibri"/>
        </w:rPr>
      </w:pPr>
      <w:r w:rsidRPr="00D63B5A">
        <w:rPr>
          <w:rFonts w:asciiTheme="minorHAnsi" w:hAnsiTheme="minorHAnsi" w:cs="Calibri"/>
        </w:rPr>
        <w:t>Court considered the Freedom to Speak Up Policy which had previously been discussed by</w:t>
      </w:r>
      <w:r>
        <w:rPr>
          <w:rFonts w:asciiTheme="minorHAnsi" w:hAnsiTheme="minorHAnsi" w:cs="Calibri"/>
        </w:rPr>
        <w:t xml:space="preserve"> Audit Committee.  The University had had a Public Interest Disclosure Policy for a number of years but the policy had been refreshed to open up the language and encourage people to come forward with concerns rather than emphasising the compliance aspects of the policy.  </w:t>
      </w:r>
    </w:p>
    <w:p w14:paraId="0C6C9B26" w14:textId="77777777" w:rsidR="00D63B5A" w:rsidRDefault="00D63B5A" w:rsidP="00D63B5A">
      <w:pPr>
        <w:tabs>
          <w:tab w:val="right" w:pos="9026"/>
        </w:tabs>
        <w:spacing w:after="0" w:line="240" w:lineRule="auto"/>
        <w:ind w:left="720"/>
        <w:contextualSpacing/>
        <w:jc w:val="both"/>
        <w:rPr>
          <w:rFonts w:asciiTheme="minorHAnsi" w:hAnsiTheme="minorHAnsi" w:cs="Calibri"/>
        </w:rPr>
      </w:pPr>
    </w:p>
    <w:p w14:paraId="3D88B268" w14:textId="77777777" w:rsidR="00D63B5A" w:rsidRDefault="00D63B5A" w:rsidP="00D63B5A">
      <w:pPr>
        <w:tabs>
          <w:tab w:val="right" w:pos="9026"/>
        </w:tabs>
        <w:spacing w:after="0" w:line="240" w:lineRule="auto"/>
        <w:ind w:left="720"/>
        <w:contextualSpacing/>
        <w:jc w:val="both"/>
        <w:rPr>
          <w:rFonts w:asciiTheme="minorHAnsi" w:hAnsiTheme="minorHAnsi" w:cs="Calibri"/>
        </w:rPr>
      </w:pPr>
      <w:r>
        <w:rPr>
          <w:rFonts w:asciiTheme="minorHAnsi" w:hAnsiTheme="minorHAnsi" w:cs="Calibri"/>
        </w:rPr>
        <w:t xml:space="preserve">Court </w:t>
      </w:r>
      <w:r w:rsidRPr="00DE16EE">
        <w:rPr>
          <w:rFonts w:asciiTheme="minorHAnsi" w:hAnsiTheme="minorHAnsi" w:cs="Calibri"/>
          <w:b/>
        </w:rPr>
        <w:t>approve</w:t>
      </w:r>
      <w:r>
        <w:rPr>
          <w:rFonts w:asciiTheme="minorHAnsi" w:hAnsiTheme="minorHAnsi" w:cs="Calibri"/>
          <w:b/>
        </w:rPr>
        <w:t>d</w:t>
      </w:r>
      <w:r>
        <w:rPr>
          <w:rFonts w:asciiTheme="minorHAnsi" w:hAnsiTheme="minorHAnsi" w:cs="Calibri"/>
        </w:rPr>
        <w:t xml:space="preserve"> the updated Freedom to Speak Up (Whistleblowing) Policy.</w:t>
      </w:r>
    </w:p>
    <w:p w14:paraId="40312310" w14:textId="77777777" w:rsidR="00D63B5A" w:rsidRDefault="00D63B5A" w:rsidP="00A1284E">
      <w:pPr>
        <w:tabs>
          <w:tab w:val="right" w:pos="9026"/>
        </w:tabs>
        <w:spacing w:after="0" w:line="240" w:lineRule="auto"/>
        <w:ind w:left="720"/>
        <w:contextualSpacing/>
        <w:jc w:val="both"/>
        <w:rPr>
          <w:rFonts w:asciiTheme="minorHAnsi" w:hAnsiTheme="minorHAnsi" w:cs="Calibri"/>
        </w:rPr>
      </w:pPr>
    </w:p>
    <w:p w14:paraId="381AEA24"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lastRenderedPageBreak/>
        <w:t>11</w:t>
      </w:r>
      <w:r w:rsidRPr="00F17CE0">
        <w:rPr>
          <w:rFonts w:asciiTheme="minorHAnsi" w:hAnsiTheme="minorHAnsi" w:cs="Calibri"/>
          <w:b/>
        </w:rPr>
        <w:t>.</w:t>
      </w:r>
      <w:r w:rsidRPr="00F17CE0">
        <w:rPr>
          <w:rFonts w:asciiTheme="minorHAnsi" w:hAnsiTheme="minorHAnsi" w:cs="Calibri"/>
          <w:b/>
        </w:rPr>
        <w:tab/>
      </w:r>
      <w:r>
        <w:rPr>
          <w:rFonts w:asciiTheme="minorHAnsi" w:hAnsiTheme="minorHAnsi" w:cs="Calibri"/>
          <w:b/>
        </w:rPr>
        <w:t>SCHEDULE OF RESERVATIONS AND DELEGATIONS</w:t>
      </w:r>
      <w:r w:rsidRPr="00F17CE0">
        <w:rPr>
          <w:rFonts w:asciiTheme="minorHAnsi" w:hAnsiTheme="minorHAnsi" w:cs="Calibri"/>
          <w:b/>
        </w:rPr>
        <w:tab/>
      </w:r>
      <w:proofErr w:type="gramStart"/>
      <w:r w:rsidRPr="00F17CE0">
        <w:rPr>
          <w:rFonts w:asciiTheme="minorHAnsi" w:hAnsiTheme="minorHAnsi" w:cs="Calibri"/>
          <w:b/>
        </w:rPr>
        <w:t>UC(</w:t>
      </w:r>
      <w:proofErr w:type="gramEnd"/>
      <w:r w:rsidRPr="00F17CE0">
        <w:rPr>
          <w:rFonts w:asciiTheme="minorHAnsi" w:hAnsiTheme="minorHAnsi" w:cs="Calibri"/>
          <w:b/>
        </w:rPr>
        <w:t>1</w:t>
      </w:r>
      <w:r>
        <w:rPr>
          <w:rFonts w:asciiTheme="minorHAnsi" w:hAnsiTheme="minorHAnsi" w:cs="Calibri"/>
          <w:b/>
        </w:rPr>
        <w:t>8</w:t>
      </w:r>
      <w:r w:rsidRPr="00F17CE0">
        <w:rPr>
          <w:rFonts w:asciiTheme="minorHAnsi" w:hAnsiTheme="minorHAnsi" w:cs="Calibri"/>
          <w:b/>
        </w:rPr>
        <w:t>/1</w:t>
      </w:r>
      <w:r>
        <w:rPr>
          <w:rFonts w:asciiTheme="minorHAnsi" w:hAnsiTheme="minorHAnsi" w:cs="Calibri"/>
          <w:b/>
        </w:rPr>
        <w:t>9</w:t>
      </w:r>
      <w:r w:rsidRPr="00F17CE0">
        <w:rPr>
          <w:rFonts w:asciiTheme="minorHAnsi" w:hAnsiTheme="minorHAnsi" w:cs="Calibri"/>
          <w:b/>
        </w:rPr>
        <w:t>)</w:t>
      </w:r>
      <w:r>
        <w:rPr>
          <w:rFonts w:asciiTheme="minorHAnsi" w:hAnsiTheme="minorHAnsi" w:cs="Calibri"/>
          <w:b/>
        </w:rPr>
        <w:t>57</w:t>
      </w:r>
    </w:p>
    <w:p w14:paraId="7B952BEF" w14:textId="77777777" w:rsidR="00FB3F47" w:rsidRDefault="00FB3F47" w:rsidP="00FB3F47">
      <w:pPr>
        <w:tabs>
          <w:tab w:val="right" w:pos="9026"/>
        </w:tabs>
        <w:spacing w:after="0" w:line="240" w:lineRule="auto"/>
        <w:ind w:left="720"/>
        <w:contextualSpacing/>
        <w:jc w:val="both"/>
        <w:rPr>
          <w:rFonts w:asciiTheme="minorHAnsi" w:hAnsiTheme="minorHAnsi" w:cs="Calibri"/>
        </w:rPr>
      </w:pPr>
      <w:r w:rsidRPr="00FB3F47">
        <w:rPr>
          <w:rFonts w:asciiTheme="minorHAnsi" w:hAnsiTheme="minorHAnsi" w:cs="Calibri"/>
        </w:rPr>
        <w:t>Court considered the amended Schedule of Reservations and Delegations.  The updates</w:t>
      </w:r>
      <w:r>
        <w:rPr>
          <w:rFonts w:asciiTheme="minorHAnsi" w:hAnsiTheme="minorHAnsi" w:cs="Calibri"/>
        </w:rPr>
        <w:t xml:space="preserve"> mainly related to job titles and names of business areas.  </w:t>
      </w:r>
    </w:p>
    <w:p w14:paraId="24C36D42" w14:textId="77777777" w:rsidR="00FB3F47" w:rsidRDefault="00FB3F47" w:rsidP="00FB3F47">
      <w:pPr>
        <w:tabs>
          <w:tab w:val="right" w:pos="9026"/>
        </w:tabs>
        <w:spacing w:after="0" w:line="240" w:lineRule="auto"/>
        <w:ind w:left="720"/>
        <w:contextualSpacing/>
        <w:jc w:val="both"/>
        <w:rPr>
          <w:rFonts w:asciiTheme="minorHAnsi" w:hAnsiTheme="minorHAnsi" w:cs="Calibri"/>
        </w:rPr>
      </w:pPr>
    </w:p>
    <w:p w14:paraId="78433326" w14:textId="77777777" w:rsidR="00FB3F47" w:rsidRPr="00F17CE0" w:rsidRDefault="00FB3F47" w:rsidP="00FB3F47">
      <w:pPr>
        <w:tabs>
          <w:tab w:val="right" w:pos="9026"/>
        </w:tabs>
        <w:spacing w:after="0" w:line="240" w:lineRule="auto"/>
        <w:ind w:left="720"/>
        <w:contextualSpacing/>
        <w:jc w:val="both"/>
        <w:rPr>
          <w:rFonts w:asciiTheme="minorHAnsi" w:hAnsiTheme="minorHAnsi" w:cs="Calibri"/>
        </w:rPr>
      </w:pPr>
      <w:r>
        <w:rPr>
          <w:rFonts w:asciiTheme="minorHAnsi" w:hAnsiTheme="minorHAnsi" w:cs="Calibri"/>
        </w:rPr>
        <w:t xml:space="preserve">Court </w:t>
      </w:r>
      <w:r w:rsidRPr="000258D7">
        <w:rPr>
          <w:rFonts w:asciiTheme="minorHAnsi" w:hAnsiTheme="minorHAnsi" w:cs="Calibri"/>
          <w:b/>
        </w:rPr>
        <w:t>approve</w:t>
      </w:r>
      <w:r>
        <w:rPr>
          <w:rFonts w:asciiTheme="minorHAnsi" w:hAnsiTheme="minorHAnsi" w:cs="Calibri"/>
          <w:b/>
        </w:rPr>
        <w:t>d</w:t>
      </w:r>
      <w:r>
        <w:rPr>
          <w:rFonts w:asciiTheme="minorHAnsi" w:hAnsiTheme="minorHAnsi" w:cs="Calibri"/>
        </w:rPr>
        <w:t xml:space="preserve"> the updated Schedule of Reservations and Delegations.</w:t>
      </w:r>
    </w:p>
    <w:p w14:paraId="450E1F28"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p>
    <w:p w14:paraId="49CE202A" w14:textId="77777777" w:rsidR="00A1284E" w:rsidRPr="00F17CE0" w:rsidRDefault="00A1284E" w:rsidP="00A1284E">
      <w:pPr>
        <w:tabs>
          <w:tab w:val="left" w:pos="709"/>
          <w:tab w:val="right" w:pos="9026"/>
        </w:tabs>
        <w:spacing w:after="0" w:line="240" w:lineRule="auto"/>
        <w:contextualSpacing/>
        <w:rPr>
          <w:rFonts w:cs="Calibri"/>
          <w:b/>
          <w:i/>
        </w:rPr>
      </w:pPr>
      <w:r w:rsidRPr="00F17CE0">
        <w:rPr>
          <w:rFonts w:cs="Calibri"/>
          <w:b/>
          <w:i/>
        </w:rPr>
        <w:t>ACTIVITY UPDATES</w:t>
      </w:r>
    </w:p>
    <w:p w14:paraId="03B4D4E9"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p>
    <w:p w14:paraId="4B58A677"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12</w:t>
      </w:r>
      <w:r w:rsidRPr="00F17CE0">
        <w:rPr>
          <w:rFonts w:asciiTheme="minorHAnsi" w:hAnsiTheme="minorHAnsi" w:cs="Calibri"/>
          <w:b/>
        </w:rPr>
        <w:t>.</w:t>
      </w:r>
      <w:r w:rsidRPr="00F17CE0">
        <w:rPr>
          <w:rFonts w:asciiTheme="minorHAnsi" w:hAnsiTheme="minorHAnsi" w:cs="Calibri"/>
          <w:b/>
        </w:rPr>
        <w:tab/>
        <w:t xml:space="preserve">STUDENTS’ UNION </w:t>
      </w:r>
      <w:r>
        <w:rPr>
          <w:rFonts w:asciiTheme="minorHAnsi" w:hAnsiTheme="minorHAnsi" w:cs="Calibri"/>
          <w:b/>
        </w:rPr>
        <w:t>U</w:t>
      </w:r>
      <w:r w:rsidRPr="00F17CE0">
        <w:rPr>
          <w:rFonts w:asciiTheme="minorHAnsi" w:hAnsiTheme="minorHAnsi" w:cs="Calibri"/>
          <w:b/>
        </w:rPr>
        <w:t>PDATE</w:t>
      </w:r>
      <w:r w:rsidRPr="00F17CE0">
        <w:rPr>
          <w:rFonts w:asciiTheme="minorHAnsi" w:hAnsiTheme="minorHAnsi" w:cs="Calibri"/>
          <w:b/>
        </w:rPr>
        <w:tab/>
      </w:r>
      <w:proofErr w:type="gramStart"/>
      <w:r w:rsidRPr="00F17CE0">
        <w:rPr>
          <w:rFonts w:asciiTheme="minorHAnsi" w:hAnsiTheme="minorHAnsi" w:cs="Calibri"/>
          <w:b/>
        </w:rPr>
        <w:t>UC(</w:t>
      </w:r>
      <w:proofErr w:type="gramEnd"/>
      <w:r w:rsidRPr="00F17CE0">
        <w:rPr>
          <w:rFonts w:asciiTheme="minorHAnsi" w:hAnsiTheme="minorHAnsi" w:cs="Calibri"/>
          <w:b/>
        </w:rPr>
        <w:t>1</w:t>
      </w:r>
      <w:r>
        <w:rPr>
          <w:rFonts w:asciiTheme="minorHAnsi" w:hAnsiTheme="minorHAnsi" w:cs="Calibri"/>
          <w:b/>
        </w:rPr>
        <w:t>8</w:t>
      </w:r>
      <w:r w:rsidRPr="00F17CE0">
        <w:rPr>
          <w:rFonts w:asciiTheme="minorHAnsi" w:hAnsiTheme="minorHAnsi" w:cs="Calibri"/>
          <w:b/>
        </w:rPr>
        <w:t>/1</w:t>
      </w:r>
      <w:r>
        <w:rPr>
          <w:rFonts w:asciiTheme="minorHAnsi" w:hAnsiTheme="minorHAnsi" w:cs="Calibri"/>
          <w:b/>
        </w:rPr>
        <w:t>9</w:t>
      </w:r>
      <w:r w:rsidRPr="00F17CE0">
        <w:rPr>
          <w:rFonts w:asciiTheme="minorHAnsi" w:hAnsiTheme="minorHAnsi" w:cs="Calibri"/>
          <w:b/>
        </w:rPr>
        <w:t>)</w:t>
      </w:r>
      <w:r>
        <w:rPr>
          <w:rFonts w:asciiTheme="minorHAnsi" w:hAnsiTheme="minorHAnsi" w:cs="Calibri"/>
          <w:b/>
        </w:rPr>
        <w:t>58</w:t>
      </w:r>
    </w:p>
    <w:p w14:paraId="22F7096F" w14:textId="77777777" w:rsidR="0046297F" w:rsidRDefault="0046297F" w:rsidP="0046297F">
      <w:pPr>
        <w:spacing w:after="0" w:line="240" w:lineRule="auto"/>
        <w:ind w:left="720"/>
        <w:contextualSpacing/>
        <w:jc w:val="both"/>
        <w:rPr>
          <w:rFonts w:cs="Arial"/>
        </w:rPr>
      </w:pPr>
      <w:r w:rsidRPr="000F36C0">
        <w:rPr>
          <w:rFonts w:cs="Arial"/>
        </w:rPr>
        <w:t>Court</w:t>
      </w:r>
      <w:r>
        <w:rPr>
          <w:rFonts w:cs="Arial"/>
          <w:b/>
        </w:rPr>
        <w:t xml:space="preserve"> noted</w:t>
      </w:r>
      <w:r w:rsidRPr="00D00553">
        <w:rPr>
          <w:rFonts w:cs="Arial"/>
        </w:rPr>
        <w:t xml:space="preserve"> the</w:t>
      </w:r>
      <w:r>
        <w:rPr>
          <w:rFonts w:cs="Arial"/>
        </w:rPr>
        <w:t xml:space="preserve"> report</w:t>
      </w:r>
      <w:r w:rsidRPr="00D00553">
        <w:rPr>
          <w:rFonts w:cs="Arial"/>
        </w:rPr>
        <w:t xml:space="preserve"> on recent Students’ Union activities</w:t>
      </w:r>
      <w:r>
        <w:rPr>
          <w:rFonts w:cs="Arial"/>
        </w:rPr>
        <w:t xml:space="preserve"> covering the election of the new sabbatical officers and RATE awards.</w:t>
      </w:r>
    </w:p>
    <w:p w14:paraId="7A31B7DE" w14:textId="77777777" w:rsidR="0046297F" w:rsidRPr="00D00553" w:rsidRDefault="0046297F" w:rsidP="0046297F">
      <w:pPr>
        <w:spacing w:after="0" w:line="240" w:lineRule="auto"/>
        <w:ind w:left="720"/>
        <w:contextualSpacing/>
        <w:jc w:val="both"/>
        <w:rPr>
          <w:rFonts w:cs="Arial"/>
        </w:rPr>
      </w:pPr>
    </w:p>
    <w:p w14:paraId="6067C9F7"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13</w:t>
      </w:r>
      <w:r w:rsidRPr="00F17CE0">
        <w:rPr>
          <w:rFonts w:asciiTheme="minorHAnsi" w:hAnsiTheme="minorHAnsi" w:cs="Calibri"/>
          <w:b/>
        </w:rPr>
        <w:t>.</w:t>
      </w:r>
      <w:r w:rsidRPr="00F17CE0">
        <w:rPr>
          <w:rFonts w:asciiTheme="minorHAnsi" w:hAnsiTheme="minorHAnsi" w:cs="Calibri"/>
          <w:b/>
        </w:rPr>
        <w:tab/>
        <w:t>STAFF AND EMPLOYMENT UPDATE</w:t>
      </w:r>
      <w:r w:rsidRPr="00F17CE0">
        <w:rPr>
          <w:rFonts w:asciiTheme="minorHAnsi" w:hAnsiTheme="minorHAnsi" w:cs="Calibri"/>
          <w:b/>
        </w:rPr>
        <w:tab/>
      </w:r>
      <w:proofErr w:type="gramStart"/>
      <w:r w:rsidRPr="00F17CE0">
        <w:rPr>
          <w:rFonts w:asciiTheme="minorHAnsi" w:hAnsiTheme="minorHAnsi" w:cs="Calibri"/>
          <w:b/>
        </w:rPr>
        <w:t>UC(</w:t>
      </w:r>
      <w:proofErr w:type="gramEnd"/>
      <w:r w:rsidRPr="00F17CE0">
        <w:rPr>
          <w:rFonts w:asciiTheme="minorHAnsi" w:hAnsiTheme="minorHAnsi" w:cs="Calibri"/>
          <w:b/>
        </w:rPr>
        <w:t>1</w:t>
      </w:r>
      <w:r>
        <w:rPr>
          <w:rFonts w:asciiTheme="minorHAnsi" w:hAnsiTheme="minorHAnsi" w:cs="Calibri"/>
          <w:b/>
        </w:rPr>
        <w:t>8</w:t>
      </w:r>
      <w:r w:rsidRPr="00F17CE0">
        <w:rPr>
          <w:rFonts w:asciiTheme="minorHAnsi" w:hAnsiTheme="minorHAnsi" w:cs="Calibri"/>
          <w:b/>
        </w:rPr>
        <w:t>/1</w:t>
      </w:r>
      <w:r>
        <w:rPr>
          <w:rFonts w:asciiTheme="minorHAnsi" w:hAnsiTheme="minorHAnsi" w:cs="Calibri"/>
          <w:b/>
        </w:rPr>
        <w:t>9</w:t>
      </w:r>
      <w:r w:rsidRPr="00F17CE0">
        <w:rPr>
          <w:rFonts w:asciiTheme="minorHAnsi" w:hAnsiTheme="minorHAnsi" w:cs="Calibri"/>
          <w:b/>
        </w:rPr>
        <w:t>)</w:t>
      </w:r>
      <w:r>
        <w:rPr>
          <w:rFonts w:asciiTheme="minorHAnsi" w:hAnsiTheme="minorHAnsi" w:cs="Calibri"/>
          <w:b/>
        </w:rPr>
        <w:t>59</w:t>
      </w:r>
    </w:p>
    <w:p w14:paraId="08BBEE90" w14:textId="77777777" w:rsidR="0046297F" w:rsidRPr="0020118F" w:rsidRDefault="0046297F" w:rsidP="000F36C0">
      <w:pPr>
        <w:spacing w:after="0" w:line="240" w:lineRule="auto"/>
        <w:ind w:left="720"/>
        <w:contextualSpacing/>
        <w:jc w:val="both"/>
        <w:rPr>
          <w:rFonts w:cstheme="minorHAnsi"/>
        </w:rPr>
      </w:pPr>
      <w:r w:rsidRPr="000F36C0">
        <w:rPr>
          <w:rFonts w:cs="Arial"/>
        </w:rPr>
        <w:t>Court received an update on staff and employment issues.  UCEA had concluded the</w:t>
      </w:r>
      <w:r>
        <w:rPr>
          <w:rFonts w:cs="Arial"/>
        </w:rPr>
        <w:t xml:space="preserve"> negotiations relating to the 2019/20 pay award and had made a final offer </w:t>
      </w:r>
      <w:r w:rsidRPr="0020118F">
        <w:rPr>
          <w:rFonts w:cstheme="minorHAnsi"/>
        </w:rPr>
        <w:t>that would deliver a pay increase of between 3.56% (lower points) and 1.8% to academic and professional services staff.</w:t>
      </w:r>
      <w:r w:rsidR="00133B1B">
        <w:rPr>
          <w:rFonts w:cstheme="minorHAnsi"/>
        </w:rPr>
        <w:t xml:space="preserve">  </w:t>
      </w:r>
      <w:r w:rsidRPr="0020118F">
        <w:rPr>
          <w:rFonts w:cstheme="minorHAnsi"/>
        </w:rPr>
        <w:t xml:space="preserve">The Trade Unions </w:t>
      </w:r>
      <w:r w:rsidR="00133B1B">
        <w:rPr>
          <w:rFonts w:cstheme="minorHAnsi"/>
        </w:rPr>
        <w:t>we</w:t>
      </w:r>
      <w:r w:rsidRPr="0020118F">
        <w:rPr>
          <w:rFonts w:cstheme="minorHAnsi"/>
        </w:rPr>
        <w:t>re expected to consult their members on the final offer</w:t>
      </w:r>
      <w:r w:rsidR="00133B1B">
        <w:rPr>
          <w:rFonts w:cstheme="minorHAnsi"/>
        </w:rPr>
        <w:t xml:space="preserve"> and it was expected that four out of five trade unions would re</w:t>
      </w:r>
      <w:r w:rsidRPr="0020118F">
        <w:rPr>
          <w:rFonts w:cstheme="minorHAnsi"/>
        </w:rPr>
        <w:t>commend members</w:t>
      </w:r>
      <w:r w:rsidR="00133B1B">
        <w:rPr>
          <w:rFonts w:cstheme="minorHAnsi"/>
        </w:rPr>
        <w:t xml:space="preserve"> to</w:t>
      </w:r>
      <w:r w:rsidRPr="0020118F">
        <w:rPr>
          <w:rFonts w:cstheme="minorHAnsi"/>
        </w:rPr>
        <w:t xml:space="preserve"> reject the final offer.  </w:t>
      </w:r>
    </w:p>
    <w:p w14:paraId="2CBBB805" w14:textId="77777777" w:rsidR="0046297F" w:rsidRDefault="0046297F" w:rsidP="000F36C0">
      <w:pPr>
        <w:spacing w:after="0" w:line="240" w:lineRule="auto"/>
        <w:ind w:left="720"/>
        <w:jc w:val="both"/>
        <w:rPr>
          <w:rFonts w:cstheme="minorHAnsi"/>
        </w:rPr>
      </w:pPr>
    </w:p>
    <w:p w14:paraId="388F6A03" w14:textId="77777777" w:rsidR="000F36C0" w:rsidRDefault="000F36C0" w:rsidP="000F36C0">
      <w:pPr>
        <w:spacing w:after="0" w:line="240" w:lineRule="auto"/>
        <w:ind w:left="720"/>
        <w:jc w:val="both"/>
      </w:pPr>
      <w:r>
        <w:t xml:space="preserve">In response to proposals by the Joint Expert Panel, the USS pension trustees had proposed three options for contributions from employers and employees as alternatives to the planned increases based on the 2017 valuation of the pension scheme.   Following consultation with employers the majority preferred option 3 with total contributions raising from 30.7% in October 2019 to 34.7% in October 2022.  Option 3 </w:t>
      </w:r>
      <w:r w:rsidR="00870D91">
        <w:t xml:space="preserve">would </w:t>
      </w:r>
      <w:r>
        <w:t>allow time for further consideration of alternative approaches for the long-term sustainability of the scheme.</w:t>
      </w:r>
    </w:p>
    <w:p w14:paraId="70E2D8E4" w14:textId="77777777" w:rsidR="000F36C0" w:rsidRDefault="000F36C0" w:rsidP="000F36C0">
      <w:pPr>
        <w:spacing w:after="0" w:line="240" w:lineRule="auto"/>
        <w:ind w:left="720"/>
        <w:jc w:val="both"/>
      </w:pPr>
    </w:p>
    <w:p w14:paraId="49A7A0EF" w14:textId="77777777" w:rsidR="000F36C0" w:rsidRDefault="000F36C0" w:rsidP="000F36C0">
      <w:pPr>
        <w:spacing w:after="0" w:line="240" w:lineRule="auto"/>
        <w:ind w:left="720"/>
        <w:jc w:val="both"/>
      </w:pPr>
      <w:r>
        <w:t xml:space="preserve">Under option 3, if implemented, the proposed contributions were lower than the contributions included within the University budget and would result in savings for the University in the short term.  However, if further increases were required as a result of the 2020 valuation there could be significant increases in future years.  </w:t>
      </w:r>
    </w:p>
    <w:p w14:paraId="3ED5BF46" w14:textId="77777777" w:rsidR="000F36C0" w:rsidRDefault="000F36C0" w:rsidP="000F36C0">
      <w:pPr>
        <w:spacing w:after="0" w:line="240" w:lineRule="auto"/>
        <w:ind w:left="720"/>
        <w:jc w:val="both"/>
      </w:pPr>
    </w:p>
    <w:p w14:paraId="2917C117" w14:textId="77777777" w:rsidR="0046297F" w:rsidRDefault="000F36C0" w:rsidP="000F36C0">
      <w:pPr>
        <w:spacing w:after="0" w:line="240" w:lineRule="auto"/>
        <w:ind w:left="720"/>
        <w:contextualSpacing/>
        <w:jc w:val="both"/>
      </w:pPr>
      <w:r>
        <w:t>UCU had outlined grounds for a potential trade dispute in relation to the USS contributions, seeking a “no detriment” approach based on current employee contributions and benefits.</w:t>
      </w:r>
    </w:p>
    <w:p w14:paraId="0F574EF9" w14:textId="77777777" w:rsidR="000F36C0" w:rsidRPr="0020118F" w:rsidRDefault="000F36C0" w:rsidP="000F36C0">
      <w:pPr>
        <w:spacing w:after="0" w:line="240" w:lineRule="auto"/>
        <w:ind w:left="720"/>
        <w:contextualSpacing/>
        <w:jc w:val="both"/>
        <w:rPr>
          <w:rFonts w:cs="Arial"/>
        </w:rPr>
      </w:pPr>
    </w:p>
    <w:p w14:paraId="237D621A" w14:textId="77777777" w:rsidR="0046297F" w:rsidRPr="00D00553" w:rsidRDefault="0046297F" w:rsidP="000F36C0">
      <w:pPr>
        <w:spacing w:after="0" w:line="240" w:lineRule="auto"/>
        <w:ind w:left="720"/>
        <w:contextualSpacing/>
        <w:jc w:val="both"/>
        <w:rPr>
          <w:rFonts w:cs="Arial"/>
        </w:rPr>
      </w:pPr>
      <w:r w:rsidRPr="0020118F">
        <w:rPr>
          <w:rFonts w:cs="Arial"/>
        </w:rPr>
        <w:t xml:space="preserve">Court </w:t>
      </w:r>
      <w:r w:rsidRPr="0020118F">
        <w:rPr>
          <w:rFonts w:cs="Arial"/>
          <w:b/>
        </w:rPr>
        <w:t>note</w:t>
      </w:r>
      <w:r w:rsidR="00887F28">
        <w:rPr>
          <w:rFonts w:cs="Arial"/>
          <w:b/>
        </w:rPr>
        <w:t>d</w:t>
      </w:r>
      <w:r w:rsidRPr="0020118F">
        <w:rPr>
          <w:rFonts w:cs="Arial"/>
        </w:rPr>
        <w:t xml:space="preserve"> the staff and employment update.</w:t>
      </w:r>
      <w:r w:rsidRPr="00D00553">
        <w:rPr>
          <w:rFonts w:cs="Arial"/>
        </w:rPr>
        <w:t xml:space="preserve">  </w:t>
      </w:r>
    </w:p>
    <w:p w14:paraId="1C294967"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p>
    <w:p w14:paraId="76F1B29B" w14:textId="77777777" w:rsidR="00A1284E" w:rsidRPr="00F17CE0" w:rsidRDefault="00A1284E" w:rsidP="00A1284E">
      <w:pPr>
        <w:tabs>
          <w:tab w:val="left" w:pos="709"/>
          <w:tab w:val="right" w:pos="9026"/>
        </w:tabs>
        <w:spacing w:after="0" w:line="240" w:lineRule="auto"/>
        <w:contextualSpacing/>
        <w:rPr>
          <w:rFonts w:cs="Calibri"/>
          <w:b/>
        </w:rPr>
      </w:pPr>
      <w:r>
        <w:rPr>
          <w:rFonts w:cs="Calibri"/>
          <w:b/>
        </w:rPr>
        <w:t>14</w:t>
      </w:r>
      <w:r w:rsidRPr="00F17CE0">
        <w:rPr>
          <w:rFonts w:cs="Calibri"/>
          <w:b/>
        </w:rPr>
        <w:t>.</w:t>
      </w:r>
      <w:r w:rsidRPr="00F17CE0">
        <w:rPr>
          <w:rFonts w:cs="Calibri"/>
          <w:b/>
        </w:rPr>
        <w:tab/>
        <w:t>EQUALITIES UPDATE</w:t>
      </w:r>
      <w:r w:rsidRPr="00F17CE0">
        <w:rPr>
          <w:rFonts w:cs="Calibri"/>
          <w:b/>
        </w:rPr>
        <w:tab/>
      </w:r>
      <w:proofErr w:type="gramStart"/>
      <w:r w:rsidRPr="00F17CE0">
        <w:rPr>
          <w:rFonts w:cs="Calibri"/>
          <w:b/>
        </w:rPr>
        <w:t>UC(</w:t>
      </w:r>
      <w:proofErr w:type="gramEnd"/>
      <w:r w:rsidRPr="00F17CE0">
        <w:rPr>
          <w:rFonts w:cs="Calibri"/>
          <w:b/>
        </w:rPr>
        <w:t>1</w:t>
      </w:r>
      <w:r>
        <w:rPr>
          <w:rFonts w:cs="Calibri"/>
          <w:b/>
        </w:rPr>
        <w:t>8</w:t>
      </w:r>
      <w:r w:rsidRPr="00F17CE0">
        <w:rPr>
          <w:rFonts w:cs="Calibri"/>
          <w:b/>
        </w:rPr>
        <w:t>/1</w:t>
      </w:r>
      <w:r>
        <w:rPr>
          <w:rFonts w:cs="Calibri"/>
          <w:b/>
        </w:rPr>
        <w:t>9</w:t>
      </w:r>
      <w:r w:rsidRPr="00F17CE0">
        <w:rPr>
          <w:rFonts w:cs="Calibri"/>
          <w:b/>
        </w:rPr>
        <w:t>)</w:t>
      </w:r>
      <w:r>
        <w:rPr>
          <w:rFonts w:cs="Calibri"/>
          <w:b/>
        </w:rPr>
        <w:t>60</w:t>
      </w:r>
    </w:p>
    <w:p w14:paraId="315DDB5F" w14:textId="77777777" w:rsidR="00377A39" w:rsidRDefault="00377A39" w:rsidP="00377A39">
      <w:pPr>
        <w:spacing w:after="0" w:line="240" w:lineRule="auto"/>
        <w:ind w:left="720"/>
        <w:jc w:val="both"/>
        <w:rPr>
          <w:rFonts w:cstheme="minorHAnsi"/>
        </w:rPr>
      </w:pPr>
      <w:r w:rsidRPr="00377A39">
        <w:rPr>
          <w:rFonts w:cstheme="minorHAnsi"/>
        </w:rPr>
        <w:t>Court considered the Equalities Update which included the</w:t>
      </w:r>
      <w:r w:rsidR="00870D91">
        <w:rPr>
          <w:rFonts w:cstheme="minorHAnsi"/>
        </w:rPr>
        <w:t xml:space="preserve"> recently published</w:t>
      </w:r>
      <w:r w:rsidRPr="00377A39">
        <w:rPr>
          <w:rFonts w:cstheme="minorHAnsi"/>
        </w:rPr>
        <w:t xml:space="preserve"> Equality Mainstreaming Report</w:t>
      </w:r>
      <w:r w:rsidRPr="009E4101">
        <w:rPr>
          <w:rFonts w:cstheme="minorHAnsi"/>
        </w:rPr>
        <w:t>. The report set out the University’s progress against its four equality outcomes and demonstrate</w:t>
      </w:r>
      <w:r>
        <w:rPr>
          <w:rFonts w:cstheme="minorHAnsi"/>
        </w:rPr>
        <w:t>d</w:t>
      </w:r>
      <w:r w:rsidRPr="009E4101">
        <w:rPr>
          <w:rFonts w:cstheme="minorHAnsi"/>
        </w:rPr>
        <w:t xml:space="preserve"> how, through a range of policies, initiatives, and continuous improvement activities, the institution </w:t>
      </w:r>
      <w:r>
        <w:rPr>
          <w:rFonts w:cstheme="minorHAnsi"/>
        </w:rPr>
        <w:t>wa</w:t>
      </w:r>
      <w:r w:rsidRPr="009E4101">
        <w:rPr>
          <w:rFonts w:cstheme="minorHAnsi"/>
        </w:rPr>
        <w:t xml:space="preserve">s committed to integrating equality, diversity and inclusion into everything that it </w:t>
      </w:r>
      <w:r w:rsidR="007D3D0F">
        <w:rPr>
          <w:rFonts w:cstheme="minorHAnsi"/>
        </w:rPr>
        <w:t>did</w:t>
      </w:r>
      <w:r w:rsidRPr="009E4101">
        <w:rPr>
          <w:rFonts w:cstheme="minorHAnsi"/>
        </w:rPr>
        <w:t xml:space="preserve">. </w:t>
      </w:r>
    </w:p>
    <w:p w14:paraId="78B5971C" w14:textId="77777777" w:rsidR="00377A39" w:rsidRDefault="00377A39" w:rsidP="00377A39">
      <w:pPr>
        <w:spacing w:after="0" w:line="240" w:lineRule="auto"/>
        <w:ind w:left="720"/>
        <w:jc w:val="both"/>
        <w:rPr>
          <w:rFonts w:cstheme="minorHAnsi"/>
        </w:rPr>
      </w:pPr>
    </w:p>
    <w:p w14:paraId="697317F0" w14:textId="77777777" w:rsidR="00377A39" w:rsidRPr="00435ED9" w:rsidRDefault="00377A39" w:rsidP="00377A39">
      <w:pPr>
        <w:spacing w:after="0" w:line="240" w:lineRule="auto"/>
        <w:ind w:left="720"/>
        <w:jc w:val="both"/>
        <w:rPr>
          <w:rFonts w:cstheme="minorHAnsi"/>
        </w:rPr>
      </w:pPr>
      <w:r w:rsidRPr="00435ED9">
        <w:rPr>
          <w:rFonts w:cstheme="minorHAnsi"/>
        </w:rPr>
        <w:t>The University ha</w:t>
      </w:r>
      <w:r>
        <w:rPr>
          <w:rFonts w:cstheme="minorHAnsi"/>
        </w:rPr>
        <w:t>d</w:t>
      </w:r>
      <w:r w:rsidRPr="00435ED9">
        <w:rPr>
          <w:rFonts w:cstheme="minorHAnsi"/>
        </w:rPr>
        <w:t xml:space="preserve"> made considerable progress against </w:t>
      </w:r>
      <w:r>
        <w:rPr>
          <w:rFonts w:cstheme="minorHAnsi"/>
        </w:rPr>
        <w:t xml:space="preserve">its </w:t>
      </w:r>
      <w:r w:rsidRPr="00435ED9">
        <w:rPr>
          <w:rFonts w:cstheme="minorHAnsi"/>
        </w:rPr>
        <w:t>equality outcomes and the specified measures, notably:</w:t>
      </w:r>
    </w:p>
    <w:p w14:paraId="7F6A3B4F" w14:textId="77777777" w:rsidR="00377A39" w:rsidRPr="009E4101" w:rsidRDefault="00377A39" w:rsidP="00377A39">
      <w:pPr>
        <w:pStyle w:val="ListParagraph"/>
        <w:numPr>
          <w:ilvl w:val="0"/>
          <w:numId w:val="10"/>
        </w:numPr>
        <w:spacing w:after="0" w:line="240" w:lineRule="auto"/>
        <w:ind w:left="1440"/>
        <w:jc w:val="both"/>
        <w:rPr>
          <w:rFonts w:cstheme="minorHAnsi"/>
        </w:rPr>
      </w:pPr>
      <w:r w:rsidRPr="009E4101">
        <w:rPr>
          <w:rFonts w:cstheme="minorHAnsi"/>
        </w:rPr>
        <w:t xml:space="preserve">Over 400 staff </w:t>
      </w:r>
      <w:r>
        <w:rPr>
          <w:rFonts w:cstheme="minorHAnsi"/>
        </w:rPr>
        <w:t xml:space="preserve">had been </w:t>
      </w:r>
      <w:r w:rsidRPr="009E4101">
        <w:rPr>
          <w:rFonts w:cstheme="minorHAnsi"/>
        </w:rPr>
        <w:t>train</w:t>
      </w:r>
      <w:r w:rsidR="00870D91">
        <w:rPr>
          <w:rFonts w:cstheme="minorHAnsi"/>
        </w:rPr>
        <w:t>ed</w:t>
      </w:r>
      <w:r w:rsidRPr="009E4101">
        <w:rPr>
          <w:rFonts w:cstheme="minorHAnsi"/>
        </w:rPr>
        <w:t xml:space="preserve"> on preventing &amp; tackling sexual violence &amp; misconduct (PTSVM) and 16 University and Students’ Union staff </w:t>
      </w:r>
      <w:r>
        <w:rPr>
          <w:rFonts w:cstheme="minorHAnsi"/>
        </w:rPr>
        <w:t>we</w:t>
      </w:r>
      <w:r w:rsidRPr="009E4101">
        <w:rPr>
          <w:rFonts w:cstheme="minorHAnsi"/>
        </w:rPr>
        <w:t xml:space="preserve">re </w:t>
      </w:r>
      <w:r w:rsidR="007D3D0F">
        <w:rPr>
          <w:rFonts w:cstheme="minorHAnsi"/>
        </w:rPr>
        <w:t>f</w:t>
      </w:r>
      <w:r w:rsidRPr="009E4101">
        <w:rPr>
          <w:rFonts w:cstheme="minorHAnsi"/>
        </w:rPr>
        <w:t>ully trained as Sexual Violence &amp; Misconduct Liaison Officers (SVMLO’s).</w:t>
      </w:r>
    </w:p>
    <w:p w14:paraId="29723FD6" w14:textId="77777777" w:rsidR="00377A39" w:rsidRPr="009E4101" w:rsidRDefault="00377A39" w:rsidP="00377A39">
      <w:pPr>
        <w:pStyle w:val="ListParagraph"/>
        <w:numPr>
          <w:ilvl w:val="0"/>
          <w:numId w:val="10"/>
        </w:numPr>
        <w:spacing w:after="0" w:line="240" w:lineRule="auto"/>
        <w:ind w:left="1440"/>
        <w:jc w:val="both"/>
        <w:rPr>
          <w:rFonts w:cstheme="minorHAnsi"/>
        </w:rPr>
      </w:pPr>
      <w:r w:rsidRPr="009E4101">
        <w:rPr>
          <w:rFonts w:cstheme="minorHAnsi"/>
        </w:rPr>
        <w:t>The University ha</w:t>
      </w:r>
      <w:r>
        <w:rPr>
          <w:rFonts w:cstheme="minorHAnsi"/>
        </w:rPr>
        <w:t>d</w:t>
      </w:r>
      <w:r w:rsidRPr="009E4101">
        <w:rPr>
          <w:rFonts w:cstheme="minorHAnsi"/>
        </w:rPr>
        <w:t xml:space="preserve"> published its first British Sign Language (BSL) Action Plan in consultation with its BSL community.</w:t>
      </w:r>
    </w:p>
    <w:p w14:paraId="1F07AB38" w14:textId="77777777" w:rsidR="00377A39" w:rsidRPr="009E4101" w:rsidRDefault="00377A39" w:rsidP="00377A39">
      <w:pPr>
        <w:pStyle w:val="ListParagraph"/>
        <w:numPr>
          <w:ilvl w:val="0"/>
          <w:numId w:val="10"/>
        </w:numPr>
        <w:spacing w:after="0" w:line="240" w:lineRule="auto"/>
        <w:ind w:left="1440"/>
        <w:jc w:val="both"/>
        <w:rPr>
          <w:rFonts w:cstheme="minorHAnsi"/>
        </w:rPr>
      </w:pPr>
      <w:r w:rsidRPr="009E4101">
        <w:rPr>
          <w:rFonts w:cstheme="minorHAnsi"/>
        </w:rPr>
        <w:lastRenderedPageBreak/>
        <w:t>In 2018, the University’s Leadership Development programme won the Times Higher Education (THE) Award for Outstanding Contribution to Leadership Development.</w:t>
      </w:r>
    </w:p>
    <w:p w14:paraId="044038D9" w14:textId="77777777" w:rsidR="00377A39" w:rsidRPr="009E4101" w:rsidRDefault="00377A39" w:rsidP="00377A39">
      <w:pPr>
        <w:pStyle w:val="ListParagraph"/>
        <w:numPr>
          <w:ilvl w:val="0"/>
          <w:numId w:val="10"/>
        </w:numPr>
        <w:spacing w:after="0" w:line="240" w:lineRule="auto"/>
        <w:ind w:left="1440"/>
        <w:jc w:val="both"/>
        <w:rPr>
          <w:rFonts w:cstheme="minorHAnsi"/>
        </w:rPr>
      </w:pPr>
      <w:r w:rsidRPr="009E4101">
        <w:rPr>
          <w:rFonts w:cstheme="minorHAnsi"/>
        </w:rPr>
        <w:t xml:space="preserve">The University </w:t>
      </w:r>
      <w:r>
        <w:rPr>
          <w:rFonts w:cstheme="minorHAnsi"/>
        </w:rPr>
        <w:t>was</w:t>
      </w:r>
      <w:r w:rsidRPr="009E4101">
        <w:rPr>
          <w:rFonts w:cstheme="minorHAnsi"/>
        </w:rPr>
        <w:t xml:space="preserve"> working in close partnership with staff, students and external organisations to develop an institutional Mental Health &amp; Wellbeing Strategy.</w:t>
      </w:r>
    </w:p>
    <w:p w14:paraId="2ED18478" w14:textId="77777777" w:rsidR="00377A39" w:rsidRDefault="00377A39" w:rsidP="00377A39">
      <w:pPr>
        <w:spacing w:after="0" w:line="240" w:lineRule="auto"/>
        <w:ind w:left="720"/>
        <w:jc w:val="both"/>
        <w:rPr>
          <w:rFonts w:cstheme="minorHAnsi"/>
        </w:rPr>
      </w:pPr>
    </w:p>
    <w:p w14:paraId="36D3CCCE" w14:textId="77777777" w:rsidR="00377A39" w:rsidRPr="00F17CE0" w:rsidRDefault="00377A39" w:rsidP="00377A39">
      <w:pPr>
        <w:spacing w:after="0" w:line="240" w:lineRule="auto"/>
        <w:ind w:left="720"/>
        <w:jc w:val="both"/>
        <w:rPr>
          <w:rFonts w:cs="Calibri"/>
        </w:rPr>
      </w:pPr>
      <w:r>
        <w:rPr>
          <w:rFonts w:cstheme="minorHAnsi"/>
        </w:rPr>
        <w:t xml:space="preserve">Court </w:t>
      </w:r>
      <w:r w:rsidRPr="00510200">
        <w:rPr>
          <w:rFonts w:cstheme="minorHAnsi"/>
          <w:b/>
        </w:rPr>
        <w:t>note</w:t>
      </w:r>
      <w:r>
        <w:rPr>
          <w:rFonts w:cstheme="minorHAnsi"/>
          <w:b/>
        </w:rPr>
        <w:t>d</w:t>
      </w:r>
      <w:r w:rsidRPr="00F17CE0">
        <w:rPr>
          <w:rFonts w:cs="Calibri"/>
        </w:rPr>
        <w:t xml:space="preserve"> the update on matters relating to equality </w:t>
      </w:r>
      <w:r>
        <w:rPr>
          <w:rFonts w:cs="Calibri"/>
        </w:rPr>
        <w:t>and diversity.</w:t>
      </w:r>
    </w:p>
    <w:p w14:paraId="7664D32C" w14:textId="77777777" w:rsidR="007D3D0F" w:rsidRPr="00F17CE0" w:rsidRDefault="007D3D0F" w:rsidP="00A1284E">
      <w:pPr>
        <w:tabs>
          <w:tab w:val="left" w:pos="709"/>
          <w:tab w:val="right" w:pos="9026"/>
        </w:tabs>
        <w:spacing w:after="0" w:line="240" w:lineRule="auto"/>
        <w:contextualSpacing/>
        <w:rPr>
          <w:rFonts w:asciiTheme="minorHAnsi" w:hAnsiTheme="minorHAnsi" w:cs="Calibri"/>
          <w:b/>
        </w:rPr>
      </w:pPr>
    </w:p>
    <w:p w14:paraId="1506451C" w14:textId="77777777" w:rsidR="00A1284E" w:rsidRPr="00F17CE0" w:rsidRDefault="00A1284E" w:rsidP="00A1284E">
      <w:pPr>
        <w:tabs>
          <w:tab w:val="left" w:pos="709"/>
          <w:tab w:val="right" w:pos="9026"/>
        </w:tabs>
        <w:spacing w:after="0" w:line="240" w:lineRule="auto"/>
        <w:contextualSpacing/>
        <w:rPr>
          <w:rFonts w:cs="Calibri"/>
          <w:b/>
          <w:i/>
        </w:rPr>
      </w:pPr>
      <w:r w:rsidRPr="00F17CE0">
        <w:rPr>
          <w:rFonts w:cs="Calibri"/>
          <w:b/>
          <w:i/>
        </w:rPr>
        <w:t>COMMITTEE REPORTS</w:t>
      </w:r>
    </w:p>
    <w:p w14:paraId="2C95FC0B"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p>
    <w:p w14:paraId="10F306AB"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r w:rsidRPr="00F17CE0">
        <w:rPr>
          <w:rFonts w:asciiTheme="minorHAnsi" w:hAnsiTheme="minorHAnsi" w:cs="Calibri"/>
          <w:b/>
        </w:rPr>
        <w:t>1</w:t>
      </w:r>
      <w:r>
        <w:rPr>
          <w:rFonts w:asciiTheme="minorHAnsi" w:hAnsiTheme="minorHAnsi" w:cs="Calibri"/>
          <w:b/>
        </w:rPr>
        <w:t>5</w:t>
      </w:r>
      <w:r w:rsidRPr="00F17CE0">
        <w:rPr>
          <w:rFonts w:asciiTheme="minorHAnsi" w:hAnsiTheme="minorHAnsi" w:cs="Calibri"/>
          <w:b/>
        </w:rPr>
        <w:t>.</w:t>
      </w:r>
      <w:r w:rsidRPr="00F17CE0">
        <w:rPr>
          <w:rFonts w:asciiTheme="minorHAnsi" w:hAnsiTheme="minorHAnsi" w:cs="Calibri"/>
          <w:b/>
        </w:rPr>
        <w:tab/>
        <w:t>ACADEMIC COUNCIL</w:t>
      </w:r>
      <w:r w:rsidRPr="00F17CE0">
        <w:rPr>
          <w:rFonts w:asciiTheme="minorHAnsi" w:hAnsiTheme="minorHAnsi" w:cs="Calibri"/>
          <w:b/>
        </w:rPr>
        <w:tab/>
      </w:r>
      <w:proofErr w:type="gramStart"/>
      <w:r w:rsidRPr="00F17CE0">
        <w:rPr>
          <w:rFonts w:asciiTheme="minorHAnsi" w:hAnsiTheme="minorHAnsi" w:cs="Calibri"/>
          <w:b/>
        </w:rPr>
        <w:t>UC(</w:t>
      </w:r>
      <w:proofErr w:type="gramEnd"/>
      <w:r w:rsidRPr="00F17CE0">
        <w:rPr>
          <w:rFonts w:asciiTheme="minorHAnsi" w:hAnsiTheme="minorHAnsi" w:cs="Calibri"/>
          <w:b/>
        </w:rPr>
        <w:t>1</w:t>
      </w:r>
      <w:r>
        <w:rPr>
          <w:rFonts w:asciiTheme="minorHAnsi" w:hAnsiTheme="minorHAnsi" w:cs="Calibri"/>
          <w:b/>
        </w:rPr>
        <w:t>8</w:t>
      </w:r>
      <w:r w:rsidRPr="00F17CE0">
        <w:rPr>
          <w:rFonts w:asciiTheme="minorHAnsi" w:hAnsiTheme="minorHAnsi" w:cs="Calibri"/>
          <w:b/>
        </w:rPr>
        <w:t>/1</w:t>
      </w:r>
      <w:r>
        <w:rPr>
          <w:rFonts w:asciiTheme="minorHAnsi" w:hAnsiTheme="minorHAnsi" w:cs="Calibri"/>
          <w:b/>
        </w:rPr>
        <w:t>9</w:t>
      </w:r>
      <w:r w:rsidRPr="00F17CE0">
        <w:rPr>
          <w:rFonts w:asciiTheme="minorHAnsi" w:hAnsiTheme="minorHAnsi" w:cs="Calibri"/>
          <w:b/>
        </w:rPr>
        <w:t>)</w:t>
      </w:r>
      <w:r>
        <w:rPr>
          <w:rFonts w:asciiTheme="minorHAnsi" w:hAnsiTheme="minorHAnsi" w:cs="Calibri"/>
          <w:b/>
        </w:rPr>
        <w:t>61</w:t>
      </w:r>
    </w:p>
    <w:p w14:paraId="56538B56" w14:textId="77777777" w:rsidR="00632EDF" w:rsidRPr="00632EDF" w:rsidRDefault="00632EDF" w:rsidP="00632EDF">
      <w:pPr>
        <w:spacing w:after="0" w:line="240" w:lineRule="auto"/>
        <w:ind w:left="709"/>
        <w:contextualSpacing/>
        <w:jc w:val="both"/>
        <w:rPr>
          <w:rFonts w:cs="Arial"/>
        </w:rPr>
      </w:pPr>
      <w:r w:rsidRPr="00632EDF">
        <w:rPr>
          <w:rFonts w:asciiTheme="minorHAnsi" w:hAnsiTheme="minorHAnsi" w:cs="Calibri"/>
        </w:rPr>
        <w:t xml:space="preserve">Court received an update from Academic Council from its meeting of 5 June 2019.  The report covered </w:t>
      </w:r>
      <w:r w:rsidRPr="00632EDF">
        <w:rPr>
          <w:rFonts w:cs="Arial"/>
        </w:rPr>
        <w:t>the outcomes from meetings of Research Committee, Education and Student Experience Committee and Joint Policy Planning and Resources Committee.</w:t>
      </w:r>
    </w:p>
    <w:p w14:paraId="5E154B71" w14:textId="77777777" w:rsidR="00632EDF" w:rsidRPr="00632EDF" w:rsidRDefault="00632EDF" w:rsidP="00632EDF">
      <w:pPr>
        <w:spacing w:after="0" w:line="240" w:lineRule="auto"/>
        <w:ind w:left="709"/>
        <w:contextualSpacing/>
        <w:jc w:val="both"/>
        <w:rPr>
          <w:rFonts w:cs="Arial"/>
        </w:rPr>
      </w:pPr>
    </w:p>
    <w:p w14:paraId="71FC08C9" w14:textId="77777777" w:rsidR="00632EDF" w:rsidRDefault="00632EDF" w:rsidP="00632EDF">
      <w:pPr>
        <w:spacing w:after="0" w:line="240" w:lineRule="auto"/>
        <w:ind w:left="709"/>
        <w:contextualSpacing/>
        <w:jc w:val="both"/>
        <w:rPr>
          <w:rFonts w:cs="Arial"/>
        </w:rPr>
      </w:pPr>
      <w:r>
        <w:rPr>
          <w:rFonts w:cs="Arial"/>
        </w:rPr>
        <w:t>Items for approval</w:t>
      </w:r>
      <w:r w:rsidR="00870D91">
        <w:rPr>
          <w:rFonts w:cs="Arial"/>
        </w:rPr>
        <w:t>,</w:t>
      </w:r>
      <w:r>
        <w:rPr>
          <w:rFonts w:cs="Arial"/>
        </w:rPr>
        <w:t xml:space="preserve"> covered elsewhere on the Court agenda</w:t>
      </w:r>
      <w:r w:rsidR="00870D91">
        <w:rPr>
          <w:rFonts w:cs="Arial"/>
        </w:rPr>
        <w:t>,</w:t>
      </w:r>
      <w:r>
        <w:rPr>
          <w:rFonts w:cs="Arial"/>
        </w:rPr>
        <w:t xml:space="preserve"> were the Learning &amp; Teaching Quality Enhancement Strategy, the REF Code of Practice and the Amendments to the Charter and Statutes.  Court </w:t>
      </w:r>
      <w:r w:rsidRPr="00632EDF">
        <w:rPr>
          <w:rFonts w:cs="Arial"/>
          <w:b/>
        </w:rPr>
        <w:t>noted</w:t>
      </w:r>
      <w:r>
        <w:rPr>
          <w:rFonts w:cs="Arial"/>
        </w:rPr>
        <w:t xml:space="preserve"> the other items in the report.</w:t>
      </w:r>
    </w:p>
    <w:p w14:paraId="6CEA05F2" w14:textId="77777777" w:rsidR="00A1284E" w:rsidRPr="004B38C8" w:rsidRDefault="00A1284E" w:rsidP="00632EDF">
      <w:pPr>
        <w:tabs>
          <w:tab w:val="left" w:pos="1418"/>
          <w:tab w:val="right" w:pos="9026"/>
        </w:tabs>
        <w:spacing w:after="0" w:line="240" w:lineRule="auto"/>
        <w:contextualSpacing/>
        <w:jc w:val="both"/>
        <w:rPr>
          <w:rFonts w:asciiTheme="minorHAnsi" w:hAnsiTheme="minorHAnsi" w:cs="Calibri"/>
          <w:b/>
        </w:rPr>
      </w:pPr>
    </w:p>
    <w:p w14:paraId="68F309BA" w14:textId="77777777" w:rsidR="00A1284E" w:rsidRPr="004B38C8" w:rsidRDefault="00A1284E" w:rsidP="00A1284E">
      <w:pPr>
        <w:tabs>
          <w:tab w:val="left" w:pos="709"/>
          <w:tab w:val="right" w:pos="9026"/>
        </w:tabs>
        <w:spacing w:after="0" w:line="240" w:lineRule="auto"/>
        <w:contextualSpacing/>
        <w:rPr>
          <w:rFonts w:asciiTheme="minorHAnsi" w:hAnsiTheme="minorHAnsi" w:cs="Calibri"/>
          <w:b/>
        </w:rPr>
      </w:pPr>
      <w:r w:rsidRPr="004B38C8">
        <w:rPr>
          <w:rFonts w:asciiTheme="minorHAnsi" w:hAnsiTheme="minorHAnsi" w:cs="Calibri"/>
          <w:b/>
        </w:rPr>
        <w:t>1</w:t>
      </w:r>
      <w:r>
        <w:rPr>
          <w:rFonts w:asciiTheme="minorHAnsi" w:hAnsiTheme="minorHAnsi" w:cs="Calibri"/>
          <w:b/>
        </w:rPr>
        <w:t>6</w:t>
      </w:r>
      <w:r w:rsidRPr="004B38C8">
        <w:rPr>
          <w:rFonts w:asciiTheme="minorHAnsi" w:hAnsiTheme="minorHAnsi" w:cs="Calibri"/>
          <w:b/>
        </w:rPr>
        <w:t>.</w:t>
      </w:r>
      <w:r w:rsidRPr="004B38C8">
        <w:rPr>
          <w:rFonts w:asciiTheme="minorHAnsi" w:hAnsiTheme="minorHAnsi" w:cs="Calibri"/>
          <w:b/>
        </w:rPr>
        <w:tab/>
        <w:t>JOINT POLICY, PLANNING &amp; RESOURCES COMMITTEE (JPPRC)</w:t>
      </w:r>
      <w:r w:rsidRPr="004B38C8">
        <w:rPr>
          <w:rFonts w:asciiTheme="minorHAnsi" w:hAnsiTheme="minorHAnsi" w:cs="Calibri"/>
          <w:b/>
        </w:rPr>
        <w:tab/>
      </w:r>
      <w:proofErr w:type="gramStart"/>
      <w:r w:rsidRPr="004B38C8">
        <w:rPr>
          <w:rFonts w:asciiTheme="minorHAnsi" w:hAnsiTheme="minorHAnsi" w:cs="Calibri"/>
          <w:b/>
        </w:rPr>
        <w:t>UC(</w:t>
      </w:r>
      <w:proofErr w:type="gramEnd"/>
      <w:r w:rsidRPr="004B38C8">
        <w:rPr>
          <w:rFonts w:asciiTheme="minorHAnsi" w:hAnsiTheme="minorHAnsi" w:cs="Calibri"/>
          <w:b/>
        </w:rPr>
        <w:t>18/19)</w:t>
      </w:r>
      <w:r>
        <w:rPr>
          <w:rFonts w:asciiTheme="minorHAnsi" w:hAnsiTheme="minorHAnsi" w:cs="Calibri"/>
          <w:b/>
        </w:rPr>
        <w:t>62</w:t>
      </w:r>
    </w:p>
    <w:p w14:paraId="4EC9054D" w14:textId="77777777" w:rsidR="00632EDF" w:rsidRDefault="00632EDF" w:rsidP="00632EDF">
      <w:pPr>
        <w:spacing w:after="0" w:line="240" w:lineRule="auto"/>
        <w:ind w:left="709"/>
        <w:contextualSpacing/>
        <w:jc w:val="both"/>
        <w:rPr>
          <w:rFonts w:cs="Arial"/>
        </w:rPr>
      </w:pPr>
      <w:r w:rsidRPr="00E45F21">
        <w:rPr>
          <w:rFonts w:asciiTheme="minorHAnsi" w:hAnsiTheme="minorHAnsi" w:cs="Calibri"/>
        </w:rPr>
        <w:t>Court considered the report from the JPPRC meeting held on 28 May 2019.  The report</w:t>
      </w:r>
      <w:r w:rsidRPr="00632EDF">
        <w:rPr>
          <w:rFonts w:asciiTheme="minorHAnsi" w:hAnsiTheme="minorHAnsi" w:cs="Calibri"/>
        </w:rPr>
        <w:t xml:space="preserve"> included updates on the external environment, </w:t>
      </w:r>
      <w:r w:rsidRPr="00632EDF">
        <w:rPr>
          <w:rFonts w:cs="Arial"/>
        </w:rPr>
        <w:t>scholarship proposals, management accounts, capital expenditure update, city deal and equalities update.</w:t>
      </w:r>
    </w:p>
    <w:p w14:paraId="10DD47EC" w14:textId="77777777" w:rsidR="00632EDF" w:rsidRDefault="00632EDF" w:rsidP="00632EDF">
      <w:pPr>
        <w:spacing w:after="0" w:line="240" w:lineRule="auto"/>
        <w:ind w:left="709"/>
        <w:contextualSpacing/>
        <w:jc w:val="both"/>
        <w:rPr>
          <w:rFonts w:cs="Arial"/>
        </w:rPr>
      </w:pPr>
    </w:p>
    <w:p w14:paraId="141CE042" w14:textId="77777777" w:rsidR="00632EDF" w:rsidRDefault="00632EDF" w:rsidP="00632EDF">
      <w:pPr>
        <w:spacing w:after="0" w:line="240" w:lineRule="auto"/>
        <w:ind w:left="709"/>
        <w:contextualSpacing/>
        <w:jc w:val="both"/>
        <w:rPr>
          <w:rFonts w:cs="Arial"/>
        </w:rPr>
      </w:pPr>
      <w:r>
        <w:rPr>
          <w:rFonts w:cs="Arial"/>
        </w:rPr>
        <w:t>Items for approval</w:t>
      </w:r>
      <w:r w:rsidR="00870D91">
        <w:rPr>
          <w:rFonts w:cs="Arial"/>
        </w:rPr>
        <w:t>,</w:t>
      </w:r>
      <w:r>
        <w:rPr>
          <w:rFonts w:cs="Arial"/>
        </w:rPr>
        <w:t xml:space="preserve"> which that were covered elsewhere on the Court agenda</w:t>
      </w:r>
      <w:r w:rsidR="00870D91">
        <w:rPr>
          <w:rFonts w:cs="Arial"/>
        </w:rPr>
        <w:t>,</w:t>
      </w:r>
      <w:r>
        <w:rPr>
          <w:rFonts w:cs="Arial"/>
        </w:rPr>
        <w:t xml:space="preserve"> </w:t>
      </w:r>
      <w:r w:rsidR="00870D91">
        <w:rPr>
          <w:rFonts w:cs="Arial"/>
        </w:rPr>
        <w:t>were</w:t>
      </w:r>
      <w:r>
        <w:rPr>
          <w:rFonts w:cs="Arial"/>
        </w:rPr>
        <w:t xml:space="preserve"> Making it Happen 2019-2021, University Budget and the REF Codes of Practice.</w:t>
      </w:r>
    </w:p>
    <w:p w14:paraId="32D40E4E" w14:textId="77777777" w:rsidR="00632EDF" w:rsidRPr="00721A18" w:rsidRDefault="00632EDF" w:rsidP="00632EDF">
      <w:pPr>
        <w:spacing w:after="0" w:line="240" w:lineRule="auto"/>
        <w:ind w:left="709"/>
        <w:contextualSpacing/>
        <w:jc w:val="both"/>
        <w:rPr>
          <w:rFonts w:cs="Arial"/>
        </w:rPr>
      </w:pPr>
    </w:p>
    <w:p w14:paraId="0C35A75F" w14:textId="77777777" w:rsidR="00632EDF" w:rsidRPr="00D00553" w:rsidRDefault="00632EDF" w:rsidP="00632EDF">
      <w:pPr>
        <w:spacing w:after="0" w:line="240" w:lineRule="auto"/>
        <w:ind w:left="720"/>
        <w:contextualSpacing/>
        <w:jc w:val="both"/>
        <w:rPr>
          <w:rFonts w:cs="Arial"/>
        </w:rPr>
      </w:pPr>
      <w:r w:rsidRPr="00721A18">
        <w:rPr>
          <w:rFonts w:cs="Arial"/>
        </w:rPr>
        <w:t xml:space="preserve">Court </w:t>
      </w:r>
      <w:r w:rsidRPr="00B45C49">
        <w:rPr>
          <w:rFonts w:cs="Arial"/>
          <w:b/>
        </w:rPr>
        <w:t>approve</w:t>
      </w:r>
      <w:r>
        <w:rPr>
          <w:rFonts w:cs="Arial"/>
          <w:b/>
        </w:rPr>
        <w:t>d</w:t>
      </w:r>
      <w:r>
        <w:rPr>
          <w:rFonts w:cs="Arial"/>
        </w:rPr>
        <w:t xml:space="preserve"> the Safety, Environment and Business Continuity Annual Report and </w:t>
      </w:r>
      <w:r w:rsidRPr="00721A18">
        <w:rPr>
          <w:rFonts w:cs="Arial"/>
          <w:b/>
        </w:rPr>
        <w:t>note</w:t>
      </w:r>
      <w:r>
        <w:rPr>
          <w:rFonts w:cs="Arial"/>
          <w:b/>
        </w:rPr>
        <w:t>d</w:t>
      </w:r>
      <w:r w:rsidRPr="00721A18">
        <w:rPr>
          <w:rFonts w:cs="Arial"/>
        </w:rPr>
        <w:t xml:space="preserve"> the</w:t>
      </w:r>
      <w:r>
        <w:rPr>
          <w:rFonts w:cs="Arial"/>
        </w:rPr>
        <w:t xml:space="preserve"> other</w:t>
      </w:r>
      <w:r w:rsidRPr="00721A18">
        <w:rPr>
          <w:rFonts w:cs="Arial"/>
        </w:rPr>
        <w:t xml:space="preserve"> items in the report.</w:t>
      </w:r>
    </w:p>
    <w:p w14:paraId="0162A39C" w14:textId="77777777" w:rsidR="00A1284E" w:rsidRPr="004B38C8" w:rsidRDefault="00A1284E" w:rsidP="00A1284E">
      <w:pPr>
        <w:tabs>
          <w:tab w:val="left" w:pos="1418"/>
          <w:tab w:val="right" w:pos="9026"/>
        </w:tabs>
        <w:spacing w:after="0" w:line="240" w:lineRule="auto"/>
        <w:ind w:left="709"/>
        <w:contextualSpacing/>
        <w:jc w:val="both"/>
        <w:rPr>
          <w:rFonts w:asciiTheme="minorHAnsi" w:hAnsiTheme="minorHAnsi" w:cs="Calibri"/>
          <w:b/>
        </w:rPr>
      </w:pPr>
    </w:p>
    <w:p w14:paraId="402B3EB6" w14:textId="77777777" w:rsidR="00A1284E" w:rsidRPr="004B38C8" w:rsidRDefault="00A1284E" w:rsidP="00A1284E">
      <w:pPr>
        <w:tabs>
          <w:tab w:val="left" w:pos="709"/>
          <w:tab w:val="right" w:pos="9026"/>
        </w:tabs>
        <w:spacing w:after="0" w:line="240" w:lineRule="auto"/>
        <w:contextualSpacing/>
        <w:rPr>
          <w:rFonts w:asciiTheme="minorHAnsi" w:hAnsiTheme="minorHAnsi" w:cs="Calibri"/>
          <w:b/>
        </w:rPr>
      </w:pPr>
      <w:r w:rsidRPr="004B38C8">
        <w:rPr>
          <w:rFonts w:asciiTheme="minorHAnsi" w:hAnsiTheme="minorHAnsi" w:cs="Calibri"/>
          <w:b/>
        </w:rPr>
        <w:t>1</w:t>
      </w:r>
      <w:r>
        <w:rPr>
          <w:rFonts w:asciiTheme="minorHAnsi" w:hAnsiTheme="minorHAnsi" w:cs="Calibri"/>
          <w:b/>
        </w:rPr>
        <w:t>7</w:t>
      </w:r>
      <w:r w:rsidRPr="004B38C8">
        <w:rPr>
          <w:rFonts w:asciiTheme="minorHAnsi" w:hAnsiTheme="minorHAnsi" w:cs="Calibri"/>
          <w:b/>
        </w:rPr>
        <w:t>.</w:t>
      </w:r>
      <w:r w:rsidRPr="004B38C8">
        <w:rPr>
          <w:rFonts w:asciiTheme="minorHAnsi" w:hAnsiTheme="minorHAnsi" w:cs="Calibri"/>
          <w:b/>
        </w:rPr>
        <w:tab/>
        <w:t>AUDIT COMMITTEE</w:t>
      </w:r>
      <w:r w:rsidRPr="004B38C8">
        <w:rPr>
          <w:rFonts w:asciiTheme="minorHAnsi" w:hAnsiTheme="minorHAnsi" w:cs="Calibri"/>
          <w:b/>
        </w:rPr>
        <w:tab/>
      </w:r>
      <w:proofErr w:type="gramStart"/>
      <w:r w:rsidRPr="004B38C8">
        <w:rPr>
          <w:rFonts w:asciiTheme="minorHAnsi" w:hAnsiTheme="minorHAnsi" w:cs="Calibri"/>
          <w:b/>
        </w:rPr>
        <w:t>UC(</w:t>
      </w:r>
      <w:proofErr w:type="gramEnd"/>
      <w:r w:rsidRPr="004B38C8">
        <w:rPr>
          <w:rFonts w:asciiTheme="minorHAnsi" w:hAnsiTheme="minorHAnsi" w:cs="Calibri"/>
          <w:b/>
        </w:rPr>
        <w:t>18/19)</w:t>
      </w:r>
      <w:r>
        <w:rPr>
          <w:rFonts w:asciiTheme="minorHAnsi" w:hAnsiTheme="minorHAnsi" w:cs="Calibri"/>
          <w:b/>
        </w:rPr>
        <w:t>63</w:t>
      </w:r>
    </w:p>
    <w:p w14:paraId="561197F2" w14:textId="77777777" w:rsidR="000021A0" w:rsidRDefault="000021A0" w:rsidP="000021A0">
      <w:pPr>
        <w:spacing w:after="0" w:line="240" w:lineRule="auto"/>
        <w:ind w:left="720"/>
        <w:contextualSpacing/>
        <w:jc w:val="both"/>
        <w:rPr>
          <w:rFonts w:asciiTheme="minorHAnsi" w:hAnsiTheme="minorHAnsi" w:cs="Calibri"/>
          <w:highlight w:val="red"/>
        </w:rPr>
      </w:pPr>
      <w:r w:rsidRPr="00E45F21">
        <w:rPr>
          <w:rFonts w:asciiTheme="minorHAnsi" w:hAnsiTheme="minorHAnsi" w:cs="Calibri"/>
        </w:rPr>
        <w:t>Court considered the report from the Audit Committee meeting of 20 May 2019 which</w:t>
      </w:r>
      <w:r w:rsidRPr="000021A0">
        <w:rPr>
          <w:rFonts w:asciiTheme="minorHAnsi" w:hAnsiTheme="minorHAnsi" w:cs="Calibri"/>
        </w:rPr>
        <w:t xml:space="preserve"> included </w:t>
      </w:r>
      <w:r w:rsidRPr="000021A0">
        <w:rPr>
          <w:rFonts w:cs="Arial"/>
        </w:rPr>
        <w:t>the internal audit progress report, internal audit plan for 2019/20, external audit interim management report, Information Governance annual report, report on safety,</w:t>
      </w:r>
      <w:r>
        <w:rPr>
          <w:rFonts w:cs="Arial"/>
        </w:rPr>
        <w:t xml:space="preserve"> environment and continuity and </w:t>
      </w:r>
      <w:r w:rsidRPr="00520D98">
        <w:rPr>
          <w:rFonts w:cs="Arial"/>
        </w:rPr>
        <w:t xml:space="preserve">register of strategic risks.  </w:t>
      </w:r>
    </w:p>
    <w:p w14:paraId="7BFEFD52" w14:textId="77777777" w:rsidR="000021A0" w:rsidRDefault="000021A0" w:rsidP="000021A0">
      <w:pPr>
        <w:spacing w:after="0" w:line="240" w:lineRule="auto"/>
        <w:ind w:left="720"/>
        <w:contextualSpacing/>
        <w:jc w:val="both"/>
        <w:rPr>
          <w:rFonts w:cs="Arial"/>
        </w:rPr>
      </w:pPr>
    </w:p>
    <w:p w14:paraId="00492DE7" w14:textId="77777777" w:rsidR="000021A0" w:rsidRPr="00D00553" w:rsidRDefault="000021A0" w:rsidP="000021A0">
      <w:pPr>
        <w:spacing w:after="0" w:line="240" w:lineRule="auto"/>
        <w:ind w:left="720"/>
        <w:contextualSpacing/>
        <w:jc w:val="both"/>
        <w:rPr>
          <w:rFonts w:cs="Arial"/>
        </w:rPr>
      </w:pPr>
      <w:r>
        <w:rPr>
          <w:rFonts w:cs="Arial"/>
        </w:rPr>
        <w:t xml:space="preserve">Court </w:t>
      </w:r>
      <w:r w:rsidRPr="008A36FD">
        <w:rPr>
          <w:rFonts w:cs="Arial"/>
          <w:b/>
        </w:rPr>
        <w:t>approve</w:t>
      </w:r>
      <w:r>
        <w:rPr>
          <w:rFonts w:cs="Arial"/>
          <w:b/>
        </w:rPr>
        <w:t>d</w:t>
      </w:r>
      <w:r>
        <w:rPr>
          <w:rFonts w:cs="Arial"/>
        </w:rPr>
        <w:t xml:space="preserve"> the extension of the appointment of KPMG as external auditors for a year to 31 December 2020 and </w:t>
      </w:r>
      <w:r w:rsidRPr="00520D98">
        <w:rPr>
          <w:rFonts w:cs="Arial"/>
          <w:b/>
        </w:rPr>
        <w:t>note</w:t>
      </w:r>
      <w:r>
        <w:rPr>
          <w:rFonts w:cs="Arial"/>
          <w:b/>
        </w:rPr>
        <w:t>d</w:t>
      </w:r>
      <w:r w:rsidRPr="00520D98">
        <w:rPr>
          <w:rFonts w:cs="Arial"/>
        </w:rPr>
        <w:t xml:space="preserve"> the </w:t>
      </w:r>
      <w:r>
        <w:rPr>
          <w:rFonts w:cs="Arial"/>
        </w:rPr>
        <w:t xml:space="preserve">other </w:t>
      </w:r>
      <w:r w:rsidRPr="00520D98">
        <w:rPr>
          <w:rFonts w:cs="Arial"/>
        </w:rPr>
        <w:t>items in the report.</w:t>
      </w:r>
    </w:p>
    <w:p w14:paraId="127294D1" w14:textId="77777777" w:rsidR="00A1284E" w:rsidRPr="004B38C8" w:rsidRDefault="00A1284E" w:rsidP="00A1284E">
      <w:pPr>
        <w:tabs>
          <w:tab w:val="left" w:pos="709"/>
          <w:tab w:val="right" w:pos="9026"/>
        </w:tabs>
        <w:spacing w:after="0" w:line="240" w:lineRule="auto"/>
        <w:contextualSpacing/>
        <w:rPr>
          <w:rFonts w:asciiTheme="minorHAnsi" w:hAnsiTheme="minorHAnsi" w:cs="Calibri"/>
          <w:b/>
        </w:rPr>
      </w:pPr>
    </w:p>
    <w:p w14:paraId="50C3DB9C" w14:textId="77777777" w:rsidR="00A1284E" w:rsidRPr="004B38C8" w:rsidRDefault="00A1284E" w:rsidP="00A1284E">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18</w:t>
      </w:r>
      <w:r w:rsidRPr="004B38C8">
        <w:rPr>
          <w:rFonts w:asciiTheme="minorHAnsi" w:hAnsiTheme="minorHAnsi" w:cs="Calibri"/>
          <w:b/>
        </w:rPr>
        <w:t>.</w:t>
      </w:r>
      <w:r w:rsidRPr="004B38C8">
        <w:rPr>
          <w:rFonts w:asciiTheme="minorHAnsi" w:hAnsiTheme="minorHAnsi" w:cs="Calibri"/>
          <w:b/>
        </w:rPr>
        <w:tab/>
        <w:t>ACADEMIC ADVANCEMENT &amp; PROMOTIONS COMMITTEE</w:t>
      </w:r>
      <w:r w:rsidRPr="004B38C8">
        <w:rPr>
          <w:rFonts w:asciiTheme="minorHAnsi" w:hAnsiTheme="minorHAnsi" w:cs="Calibri"/>
          <w:b/>
        </w:rPr>
        <w:tab/>
      </w:r>
      <w:proofErr w:type="gramStart"/>
      <w:r w:rsidRPr="004B38C8">
        <w:rPr>
          <w:rFonts w:asciiTheme="minorHAnsi" w:hAnsiTheme="minorHAnsi" w:cs="Calibri"/>
          <w:b/>
        </w:rPr>
        <w:t>UC(</w:t>
      </w:r>
      <w:proofErr w:type="gramEnd"/>
      <w:r w:rsidRPr="004B38C8">
        <w:rPr>
          <w:rFonts w:asciiTheme="minorHAnsi" w:hAnsiTheme="minorHAnsi" w:cs="Calibri"/>
          <w:b/>
        </w:rPr>
        <w:t>18/19)</w:t>
      </w:r>
      <w:r>
        <w:rPr>
          <w:rFonts w:asciiTheme="minorHAnsi" w:hAnsiTheme="minorHAnsi" w:cs="Calibri"/>
          <w:b/>
        </w:rPr>
        <w:t>64</w:t>
      </w:r>
    </w:p>
    <w:p w14:paraId="04CCD509" w14:textId="77777777" w:rsidR="00DE40A1" w:rsidRPr="00116B1E" w:rsidRDefault="00DE40A1" w:rsidP="00DE40A1">
      <w:pPr>
        <w:spacing w:after="0" w:line="240" w:lineRule="auto"/>
        <w:ind w:left="720"/>
        <w:contextualSpacing/>
        <w:jc w:val="both"/>
        <w:rPr>
          <w:rFonts w:cs="Calibri"/>
        </w:rPr>
      </w:pPr>
      <w:r w:rsidRPr="00DE40A1">
        <w:rPr>
          <w:rFonts w:cs="Calibri"/>
        </w:rPr>
        <w:t xml:space="preserve">Court considered and </w:t>
      </w:r>
      <w:r w:rsidRPr="00DE40A1">
        <w:rPr>
          <w:rFonts w:cs="Calibri"/>
          <w:b/>
        </w:rPr>
        <w:t>noted</w:t>
      </w:r>
      <w:r w:rsidRPr="00DE40A1">
        <w:rPr>
          <w:rFonts w:cs="Calibri"/>
        </w:rPr>
        <w:t xml:space="preserve"> the annual report from the AAPC which included a summary of</w:t>
      </w:r>
      <w:r w:rsidRPr="00116B1E">
        <w:rPr>
          <w:rFonts w:cs="Calibri"/>
        </w:rPr>
        <w:t xml:space="preserve"> the applications considered for academic promotion in May 2019</w:t>
      </w:r>
      <w:r>
        <w:rPr>
          <w:rFonts w:cs="Calibri"/>
        </w:rPr>
        <w:t xml:space="preserve"> and d</w:t>
      </w:r>
      <w:r w:rsidRPr="00116B1E">
        <w:rPr>
          <w:rFonts w:cs="Calibri"/>
        </w:rPr>
        <w:t>etails of the committee membership.</w:t>
      </w:r>
    </w:p>
    <w:p w14:paraId="41156C66"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p>
    <w:p w14:paraId="6DEC4C62"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19</w:t>
      </w:r>
      <w:r w:rsidRPr="00F17CE0">
        <w:rPr>
          <w:rFonts w:asciiTheme="minorHAnsi" w:hAnsiTheme="minorHAnsi" w:cs="Calibri"/>
          <w:b/>
        </w:rPr>
        <w:t>.</w:t>
      </w:r>
      <w:r w:rsidRPr="00F17CE0">
        <w:rPr>
          <w:rFonts w:asciiTheme="minorHAnsi" w:hAnsiTheme="minorHAnsi" w:cs="Calibri"/>
          <w:b/>
        </w:rPr>
        <w:tab/>
        <w:t>COMBINED JOINT NEGOTIATING &amp; CONSULTATION COMMITTEE</w:t>
      </w:r>
      <w:r w:rsidRPr="00F17CE0">
        <w:rPr>
          <w:rFonts w:asciiTheme="minorHAnsi" w:hAnsiTheme="minorHAnsi" w:cs="Calibri"/>
          <w:b/>
        </w:rPr>
        <w:tab/>
      </w:r>
      <w:proofErr w:type="gramStart"/>
      <w:r w:rsidRPr="00F17CE0">
        <w:rPr>
          <w:rFonts w:asciiTheme="minorHAnsi" w:hAnsiTheme="minorHAnsi" w:cs="Calibri"/>
          <w:b/>
        </w:rPr>
        <w:t>UC(</w:t>
      </w:r>
      <w:proofErr w:type="gramEnd"/>
      <w:r w:rsidRPr="00F17CE0">
        <w:rPr>
          <w:rFonts w:asciiTheme="minorHAnsi" w:hAnsiTheme="minorHAnsi" w:cs="Calibri"/>
          <w:b/>
        </w:rPr>
        <w:t>1</w:t>
      </w:r>
      <w:r>
        <w:rPr>
          <w:rFonts w:asciiTheme="minorHAnsi" w:hAnsiTheme="minorHAnsi" w:cs="Calibri"/>
          <w:b/>
        </w:rPr>
        <w:t>8</w:t>
      </w:r>
      <w:r w:rsidRPr="00F17CE0">
        <w:rPr>
          <w:rFonts w:asciiTheme="minorHAnsi" w:hAnsiTheme="minorHAnsi" w:cs="Calibri"/>
          <w:b/>
        </w:rPr>
        <w:t>/1</w:t>
      </w:r>
      <w:r>
        <w:rPr>
          <w:rFonts w:asciiTheme="minorHAnsi" w:hAnsiTheme="minorHAnsi" w:cs="Calibri"/>
          <w:b/>
        </w:rPr>
        <w:t>9</w:t>
      </w:r>
      <w:r w:rsidRPr="00F17CE0">
        <w:rPr>
          <w:rFonts w:asciiTheme="minorHAnsi" w:hAnsiTheme="minorHAnsi" w:cs="Calibri"/>
          <w:b/>
        </w:rPr>
        <w:t>)</w:t>
      </w:r>
      <w:r>
        <w:rPr>
          <w:rFonts w:asciiTheme="minorHAnsi" w:hAnsiTheme="minorHAnsi" w:cs="Calibri"/>
          <w:b/>
        </w:rPr>
        <w:t>65</w:t>
      </w:r>
    </w:p>
    <w:p w14:paraId="1D3B48CF" w14:textId="77777777" w:rsidR="00A1284E" w:rsidRDefault="00DE40A1" w:rsidP="00DE40A1">
      <w:pPr>
        <w:tabs>
          <w:tab w:val="right" w:pos="9026"/>
        </w:tabs>
        <w:spacing w:after="0" w:line="240" w:lineRule="auto"/>
        <w:ind w:left="720"/>
        <w:contextualSpacing/>
        <w:jc w:val="both"/>
        <w:rPr>
          <w:rFonts w:asciiTheme="minorHAnsi" w:hAnsiTheme="minorHAnsi" w:cs="Calibri"/>
        </w:rPr>
      </w:pPr>
      <w:r>
        <w:rPr>
          <w:rFonts w:asciiTheme="minorHAnsi" w:hAnsiTheme="minorHAnsi" w:cs="Calibri"/>
        </w:rPr>
        <w:t xml:space="preserve">Court </w:t>
      </w:r>
      <w:r w:rsidRPr="00DE40A1">
        <w:rPr>
          <w:rFonts w:asciiTheme="minorHAnsi" w:hAnsiTheme="minorHAnsi" w:cs="Calibri"/>
          <w:b/>
        </w:rPr>
        <w:t>noted</w:t>
      </w:r>
      <w:r>
        <w:rPr>
          <w:rFonts w:asciiTheme="minorHAnsi" w:hAnsiTheme="minorHAnsi" w:cs="Calibri"/>
        </w:rPr>
        <w:t xml:space="preserve"> the report from CJNCC that summarised the issues that had been discussed d</w:t>
      </w:r>
      <w:r w:rsidR="00E45F21">
        <w:rPr>
          <w:rFonts w:asciiTheme="minorHAnsi" w:hAnsiTheme="minorHAnsi" w:cs="Calibri"/>
        </w:rPr>
        <w:t>u</w:t>
      </w:r>
      <w:r>
        <w:rPr>
          <w:rFonts w:asciiTheme="minorHAnsi" w:hAnsiTheme="minorHAnsi" w:cs="Calibri"/>
        </w:rPr>
        <w:t xml:space="preserve">ring 2018/19.  </w:t>
      </w:r>
    </w:p>
    <w:p w14:paraId="0664F4C2" w14:textId="77777777" w:rsidR="00DE40A1" w:rsidRPr="00F17CE0" w:rsidRDefault="00DE40A1" w:rsidP="00DE40A1">
      <w:pPr>
        <w:tabs>
          <w:tab w:val="right" w:pos="9026"/>
        </w:tabs>
        <w:spacing w:after="0" w:line="240" w:lineRule="auto"/>
        <w:ind w:left="720"/>
        <w:contextualSpacing/>
        <w:jc w:val="both"/>
        <w:rPr>
          <w:rFonts w:asciiTheme="minorHAnsi" w:hAnsiTheme="minorHAnsi" w:cs="Calibri"/>
          <w:b/>
        </w:rPr>
      </w:pPr>
    </w:p>
    <w:p w14:paraId="6A0E7BDC"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20</w:t>
      </w:r>
      <w:r w:rsidRPr="00F17CE0">
        <w:rPr>
          <w:rFonts w:asciiTheme="minorHAnsi" w:hAnsiTheme="minorHAnsi" w:cs="Calibri"/>
          <w:b/>
        </w:rPr>
        <w:t>.</w:t>
      </w:r>
      <w:r w:rsidRPr="00F17CE0">
        <w:rPr>
          <w:rFonts w:asciiTheme="minorHAnsi" w:hAnsiTheme="minorHAnsi" w:cs="Calibri"/>
          <w:b/>
        </w:rPr>
        <w:tab/>
      </w:r>
      <w:r>
        <w:rPr>
          <w:rFonts w:asciiTheme="minorHAnsi" w:hAnsiTheme="minorHAnsi" w:cs="Calibri"/>
          <w:b/>
        </w:rPr>
        <w:t xml:space="preserve">GOVERNANCE AND NOMINATIONS </w:t>
      </w:r>
      <w:r w:rsidRPr="00F17CE0">
        <w:rPr>
          <w:rFonts w:asciiTheme="minorHAnsi" w:hAnsiTheme="minorHAnsi" w:cs="Calibri"/>
          <w:b/>
        </w:rPr>
        <w:t>COMMITTEE</w:t>
      </w:r>
      <w:r w:rsidRPr="00F17CE0">
        <w:rPr>
          <w:rFonts w:asciiTheme="minorHAnsi" w:hAnsiTheme="minorHAnsi" w:cs="Calibri"/>
          <w:b/>
        </w:rPr>
        <w:tab/>
      </w:r>
      <w:proofErr w:type="gramStart"/>
      <w:r w:rsidRPr="00F17CE0">
        <w:rPr>
          <w:rFonts w:asciiTheme="minorHAnsi" w:hAnsiTheme="minorHAnsi" w:cs="Calibri"/>
          <w:b/>
        </w:rPr>
        <w:t>UC(</w:t>
      </w:r>
      <w:proofErr w:type="gramEnd"/>
      <w:r w:rsidRPr="00F17CE0">
        <w:rPr>
          <w:rFonts w:asciiTheme="minorHAnsi" w:hAnsiTheme="minorHAnsi" w:cs="Calibri"/>
          <w:b/>
        </w:rPr>
        <w:t>1</w:t>
      </w:r>
      <w:r>
        <w:rPr>
          <w:rFonts w:asciiTheme="minorHAnsi" w:hAnsiTheme="minorHAnsi" w:cs="Calibri"/>
          <w:b/>
        </w:rPr>
        <w:t>8</w:t>
      </w:r>
      <w:r w:rsidRPr="00F17CE0">
        <w:rPr>
          <w:rFonts w:asciiTheme="minorHAnsi" w:hAnsiTheme="minorHAnsi" w:cs="Calibri"/>
          <w:b/>
        </w:rPr>
        <w:t>/1</w:t>
      </w:r>
      <w:r>
        <w:rPr>
          <w:rFonts w:asciiTheme="minorHAnsi" w:hAnsiTheme="minorHAnsi" w:cs="Calibri"/>
          <w:b/>
        </w:rPr>
        <w:t>9</w:t>
      </w:r>
      <w:r w:rsidRPr="00F17CE0">
        <w:rPr>
          <w:rFonts w:asciiTheme="minorHAnsi" w:hAnsiTheme="minorHAnsi" w:cs="Calibri"/>
          <w:b/>
        </w:rPr>
        <w:t>)</w:t>
      </w:r>
      <w:r>
        <w:rPr>
          <w:rFonts w:asciiTheme="minorHAnsi" w:hAnsiTheme="minorHAnsi" w:cs="Calibri"/>
          <w:b/>
        </w:rPr>
        <w:t>66</w:t>
      </w:r>
    </w:p>
    <w:p w14:paraId="48B28867" w14:textId="77777777" w:rsidR="00A1284E" w:rsidRPr="006A1B97" w:rsidRDefault="00A1284E" w:rsidP="00A1284E">
      <w:pPr>
        <w:spacing w:after="0" w:line="240" w:lineRule="auto"/>
        <w:ind w:left="720"/>
        <w:contextualSpacing/>
        <w:jc w:val="both"/>
        <w:rPr>
          <w:rFonts w:cs="Calibri"/>
        </w:rPr>
      </w:pPr>
      <w:r w:rsidRPr="006A1B97">
        <w:rPr>
          <w:rFonts w:cs="Calibri"/>
        </w:rPr>
        <w:t xml:space="preserve">Court received a report from the meeting of GNC that took place on 14 May 2019.   Court noted a number of committee appointments for committees reporting to Court.  Other items in the report </w:t>
      </w:r>
      <w:r w:rsidR="006A1B97" w:rsidRPr="006A1B97">
        <w:rPr>
          <w:rFonts w:cs="Calibri"/>
        </w:rPr>
        <w:t>included the</w:t>
      </w:r>
      <w:r w:rsidRPr="006A1B97">
        <w:rPr>
          <w:rFonts w:cs="Calibri"/>
        </w:rPr>
        <w:t xml:space="preserve"> progress that had been made w</w:t>
      </w:r>
      <w:r w:rsidR="00E45F21">
        <w:rPr>
          <w:rFonts w:cs="Calibri"/>
        </w:rPr>
        <w:t>i</w:t>
      </w:r>
      <w:r w:rsidRPr="006A1B97">
        <w:rPr>
          <w:rFonts w:cs="Calibri"/>
        </w:rPr>
        <w:t>th the Chair of Court recruitment and election process</w:t>
      </w:r>
      <w:r w:rsidR="006A1B97" w:rsidRPr="006A1B97">
        <w:rPr>
          <w:rFonts w:cs="Calibri"/>
        </w:rPr>
        <w:t xml:space="preserve"> and a review of committee compositions</w:t>
      </w:r>
      <w:r w:rsidRPr="006A1B97">
        <w:rPr>
          <w:rFonts w:cs="Calibri"/>
        </w:rPr>
        <w:t xml:space="preserve">.  </w:t>
      </w:r>
    </w:p>
    <w:p w14:paraId="0427BD53" w14:textId="77777777" w:rsidR="00A1284E" w:rsidRPr="006A1B97" w:rsidRDefault="00A1284E" w:rsidP="00A1284E">
      <w:pPr>
        <w:spacing w:after="0" w:line="240" w:lineRule="auto"/>
        <w:ind w:left="720"/>
        <w:contextualSpacing/>
        <w:jc w:val="both"/>
        <w:rPr>
          <w:rFonts w:cs="Calibri"/>
        </w:rPr>
      </w:pPr>
    </w:p>
    <w:p w14:paraId="0396CDD5" w14:textId="77777777" w:rsidR="00A1284E" w:rsidRPr="006A1B97" w:rsidRDefault="00A1284E" w:rsidP="00A1284E">
      <w:pPr>
        <w:spacing w:after="0" w:line="240" w:lineRule="auto"/>
        <w:ind w:left="720"/>
        <w:contextualSpacing/>
        <w:jc w:val="both"/>
        <w:rPr>
          <w:rFonts w:cs="Calibri"/>
        </w:rPr>
      </w:pPr>
      <w:r w:rsidRPr="006A1B97">
        <w:rPr>
          <w:rFonts w:cs="Calibri"/>
        </w:rPr>
        <w:t xml:space="preserve">Court </w:t>
      </w:r>
      <w:r w:rsidRPr="006A1B97">
        <w:rPr>
          <w:rFonts w:cs="Calibri"/>
          <w:b/>
        </w:rPr>
        <w:t>approved</w:t>
      </w:r>
      <w:r w:rsidRPr="006A1B97">
        <w:rPr>
          <w:rFonts w:cs="Calibri"/>
        </w:rPr>
        <w:t xml:space="preserve"> the re-appointments of two members to Court and appointments of six new members of Court.  </w:t>
      </w:r>
    </w:p>
    <w:p w14:paraId="4B630C17" w14:textId="77777777" w:rsidR="00A1284E" w:rsidRPr="006A1B97" w:rsidRDefault="00A1284E" w:rsidP="00A1284E">
      <w:pPr>
        <w:spacing w:after="0" w:line="240" w:lineRule="auto"/>
        <w:ind w:left="720"/>
        <w:contextualSpacing/>
        <w:jc w:val="both"/>
        <w:rPr>
          <w:rFonts w:cs="Calibri"/>
        </w:rPr>
      </w:pPr>
    </w:p>
    <w:p w14:paraId="31D3B289" w14:textId="77777777" w:rsidR="00A1284E" w:rsidRPr="006A1B97" w:rsidRDefault="00A1284E" w:rsidP="00A1284E">
      <w:pPr>
        <w:spacing w:after="0" w:line="240" w:lineRule="auto"/>
        <w:ind w:left="720"/>
        <w:contextualSpacing/>
        <w:jc w:val="both"/>
        <w:rPr>
          <w:rFonts w:cs="Calibri"/>
        </w:rPr>
      </w:pPr>
      <w:r w:rsidRPr="006A1B97">
        <w:rPr>
          <w:rFonts w:cs="Calibri"/>
        </w:rPr>
        <w:t xml:space="preserve">Court </w:t>
      </w:r>
      <w:r w:rsidRPr="006A1B97">
        <w:rPr>
          <w:rFonts w:cs="Calibri"/>
          <w:b/>
        </w:rPr>
        <w:t>noted</w:t>
      </w:r>
      <w:r w:rsidRPr="006A1B97">
        <w:rPr>
          <w:rFonts w:cs="Calibri"/>
        </w:rPr>
        <w:t xml:space="preserve"> the other items in the report.</w:t>
      </w:r>
    </w:p>
    <w:p w14:paraId="217505FE"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p>
    <w:p w14:paraId="21739B0C" w14:textId="77777777" w:rsidR="00A1284E" w:rsidRPr="00F17CE0" w:rsidRDefault="00A1284E" w:rsidP="00A1284E">
      <w:pPr>
        <w:tabs>
          <w:tab w:val="left" w:pos="709"/>
          <w:tab w:val="right" w:pos="9026"/>
        </w:tabs>
        <w:spacing w:after="0" w:line="240" w:lineRule="auto"/>
        <w:contextualSpacing/>
        <w:rPr>
          <w:rFonts w:cs="Calibri"/>
          <w:b/>
          <w:i/>
        </w:rPr>
      </w:pPr>
      <w:r w:rsidRPr="00F17CE0">
        <w:rPr>
          <w:rFonts w:cs="Calibri"/>
          <w:b/>
          <w:i/>
        </w:rPr>
        <w:t>RISKS</w:t>
      </w:r>
    </w:p>
    <w:p w14:paraId="6B0FD08E" w14:textId="77777777" w:rsidR="00A1284E" w:rsidRDefault="00A1284E" w:rsidP="00A1284E">
      <w:pPr>
        <w:tabs>
          <w:tab w:val="right" w:pos="9026"/>
        </w:tabs>
        <w:spacing w:after="0" w:line="240" w:lineRule="auto"/>
        <w:contextualSpacing/>
        <w:jc w:val="both"/>
        <w:rPr>
          <w:rFonts w:cs="Calibri"/>
          <w:b/>
        </w:rPr>
      </w:pPr>
    </w:p>
    <w:p w14:paraId="58C0D670" w14:textId="77777777" w:rsidR="00A1284E" w:rsidRPr="00F17CE0" w:rsidRDefault="00A1284E" w:rsidP="00A1284E">
      <w:pPr>
        <w:tabs>
          <w:tab w:val="left" w:pos="709"/>
          <w:tab w:val="right" w:pos="9026"/>
        </w:tabs>
        <w:spacing w:after="0" w:line="240" w:lineRule="auto"/>
        <w:contextualSpacing/>
        <w:rPr>
          <w:rFonts w:cs="Calibri"/>
          <w:b/>
        </w:rPr>
      </w:pPr>
      <w:r>
        <w:rPr>
          <w:rFonts w:cs="Calibri"/>
          <w:b/>
        </w:rPr>
        <w:t>21</w:t>
      </w:r>
      <w:r w:rsidRPr="00F17CE0">
        <w:rPr>
          <w:rFonts w:cs="Calibri"/>
          <w:b/>
        </w:rPr>
        <w:t>.</w:t>
      </w:r>
      <w:r w:rsidRPr="00F17CE0">
        <w:rPr>
          <w:rFonts w:cs="Calibri"/>
          <w:b/>
        </w:rPr>
        <w:tab/>
        <w:t>RISK</w:t>
      </w:r>
      <w:r>
        <w:rPr>
          <w:rFonts w:cs="Calibri"/>
          <w:b/>
        </w:rPr>
        <w:t xml:space="preserve"> APPETITE STATEMENT</w:t>
      </w:r>
      <w:r w:rsidRPr="00F17CE0">
        <w:rPr>
          <w:rFonts w:cs="Calibri"/>
          <w:b/>
        </w:rPr>
        <w:tab/>
      </w:r>
      <w:proofErr w:type="gramStart"/>
      <w:r>
        <w:rPr>
          <w:rFonts w:cs="Calibri"/>
          <w:b/>
        </w:rPr>
        <w:t>UC(</w:t>
      </w:r>
      <w:proofErr w:type="gramEnd"/>
      <w:r>
        <w:rPr>
          <w:rFonts w:cs="Calibri"/>
          <w:b/>
        </w:rPr>
        <w:t>18/19)67</w:t>
      </w:r>
    </w:p>
    <w:p w14:paraId="78EF7474" w14:textId="77777777" w:rsidR="00DE40A1" w:rsidRDefault="00DE40A1" w:rsidP="00DE40A1">
      <w:pPr>
        <w:tabs>
          <w:tab w:val="right" w:pos="9026"/>
        </w:tabs>
        <w:spacing w:after="0" w:line="240" w:lineRule="auto"/>
        <w:ind w:left="720"/>
        <w:contextualSpacing/>
        <w:jc w:val="both"/>
        <w:rPr>
          <w:rFonts w:cs="Calibri"/>
        </w:rPr>
      </w:pPr>
      <w:r w:rsidRPr="00237C47">
        <w:rPr>
          <w:rFonts w:cs="Calibri"/>
        </w:rPr>
        <w:t>Court considered the amended Risk Appetite Statement.  An internal audit had recently been</w:t>
      </w:r>
      <w:r>
        <w:rPr>
          <w:rFonts w:cs="Calibri"/>
        </w:rPr>
        <w:t xml:space="preserve"> conducted on the Management of Strategic Risk that had endorsed the University’s Risk Appetite Statement.  Audit Committee had subsequently reviewed the statement as part of a regular review and agreed to update the examples given within the statement.  </w:t>
      </w:r>
    </w:p>
    <w:p w14:paraId="15538A51" w14:textId="77777777" w:rsidR="00DE40A1" w:rsidRDefault="00DE40A1" w:rsidP="00DE40A1">
      <w:pPr>
        <w:tabs>
          <w:tab w:val="right" w:pos="9026"/>
        </w:tabs>
        <w:spacing w:after="0" w:line="240" w:lineRule="auto"/>
        <w:ind w:left="720"/>
        <w:contextualSpacing/>
        <w:jc w:val="both"/>
        <w:rPr>
          <w:rFonts w:cs="Calibri"/>
        </w:rPr>
      </w:pPr>
    </w:p>
    <w:p w14:paraId="40EE08C9" w14:textId="77777777" w:rsidR="00DE40A1" w:rsidRPr="00F17CE0" w:rsidRDefault="00DE40A1" w:rsidP="00DE40A1">
      <w:pPr>
        <w:tabs>
          <w:tab w:val="right" w:pos="9026"/>
        </w:tabs>
        <w:spacing w:after="0" w:line="240" w:lineRule="auto"/>
        <w:ind w:left="720"/>
        <w:contextualSpacing/>
        <w:jc w:val="both"/>
        <w:rPr>
          <w:rFonts w:cs="Calibri"/>
        </w:rPr>
      </w:pPr>
      <w:r>
        <w:rPr>
          <w:rFonts w:cs="Calibri"/>
        </w:rPr>
        <w:t xml:space="preserve">Court </w:t>
      </w:r>
      <w:r w:rsidRPr="00712926">
        <w:rPr>
          <w:rFonts w:cs="Calibri"/>
          <w:b/>
        </w:rPr>
        <w:t>approve</w:t>
      </w:r>
      <w:r>
        <w:rPr>
          <w:rFonts w:cs="Calibri"/>
          <w:b/>
        </w:rPr>
        <w:t>d</w:t>
      </w:r>
      <w:r w:rsidRPr="00F17CE0">
        <w:rPr>
          <w:rFonts w:cs="Calibri"/>
        </w:rPr>
        <w:t xml:space="preserve"> </w:t>
      </w:r>
      <w:r>
        <w:rPr>
          <w:rFonts w:cs="Calibri"/>
        </w:rPr>
        <w:t xml:space="preserve">the updated </w:t>
      </w:r>
      <w:r w:rsidRPr="00F17CE0">
        <w:rPr>
          <w:rFonts w:cs="Calibri"/>
        </w:rPr>
        <w:t>risk</w:t>
      </w:r>
      <w:r>
        <w:rPr>
          <w:rFonts w:cs="Calibri"/>
        </w:rPr>
        <w:t xml:space="preserve"> appetite statement.</w:t>
      </w:r>
    </w:p>
    <w:p w14:paraId="06D3EC2D" w14:textId="77777777" w:rsidR="00A1284E" w:rsidRPr="00F17CE0" w:rsidRDefault="00A1284E" w:rsidP="00A1284E">
      <w:pPr>
        <w:tabs>
          <w:tab w:val="right" w:pos="9026"/>
        </w:tabs>
        <w:spacing w:after="0" w:line="240" w:lineRule="auto"/>
        <w:contextualSpacing/>
        <w:jc w:val="both"/>
        <w:rPr>
          <w:rFonts w:cs="Calibri"/>
          <w:b/>
          <w:i/>
        </w:rPr>
      </w:pPr>
    </w:p>
    <w:p w14:paraId="0B183612" w14:textId="77777777" w:rsidR="00A1284E" w:rsidRPr="00F17CE0" w:rsidRDefault="00A1284E" w:rsidP="00A1284E">
      <w:pPr>
        <w:tabs>
          <w:tab w:val="left" w:pos="709"/>
          <w:tab w:val="right" w:pos="9026"/>
        </w:tabs>
        <w:spacing w:after="0" w:line="240" w:lineRule="auto"/>
        <w:contextualSpacing/>
        <w:rPr>
          <w:rFonts w:cs="Calibri"/>
          <w:b/>
        </w:rPr>
      </w:pPr>
      <w:r>
        <w:rPr>
          <w:rFonts w:cs="Calibri"/>
          <w:b/>
        </w:rPr>
        <w:t>22</w:t>
      </w:r>
      <w:r w:rsidRPr="00F17CE0">
        <w:rPr>
          <w:rFonts w:cs="Calibri"/>
          <w:b/>
        </w:rPr>
        <w:t>.</w:t>
      </w:r>
      <w:r w:rsidRPr="00F17CE0">
        <w:rPr>
          <w:rFonts w:cs="Calibri"/>
          <w:b/>
        </w:rPr>
        <w:tab/>
        <w:t>RISKS ARISING</w:t>
      </w:r>
      <w:r w:rsidRPr="00F17CE0">
        <w:rPr>
          <w:rFonts w:cs="Calibri"/>
          <w:b/>
        </w:rPr>
        <w:tab/>
        <w:t>Oral</w:t>
      </w:r>
    </w:p>
    <w:p w14:paraId="3ADEFB19" w14:textId="77777777" w:rsidR="00632EDF" w:rsidRPr="00632EDF" w:rsidRDefault="00632EDF" w:rsidP="00632EDF">
      <w:pPr>
        <w:spacing w:after="0" w:line="240" w:lineRule="auto"/>
        <w:ind w:left="720"/>
        <w:contextualSpacing/>
        <w:jc w:val="both"/>
        <w:rPr>
          <w:rFonts w:cs="Calibri"/>
        </w:rPr>
      </w:pPr>
      <w:r w:rsidRPr="00632EDF">
        <w:rPr>
          <w:rFonts w:cs="Calibri"/>
        </w:rPr>
        <w:t xml:space="preserve">No additional items were identified to add to the institutional Register of Strategic Risks.     </w:t>
      </w:r>
    </w:p>
    <w:p w14:paraId="1753CE84" w14:textId="77777777" w:rsidR="00A1284E" w:rsidRPr="00F17CE0" w:rsidRDefault="00A1284E" w:rsidP="00A1284E">
      <w:pPr>
        <w:tabs>
          <w:tab w:val="right" w:pos="9026"/>
        </w:tabs>
        <w:spacing w:after="0" w:line="240" w:lineRule="auto"/>
        <w:contextualSpacing/>
        <w:jc w:val="both"/>
        <w:rPr>
          <w:rFonts w:cs="Calibri"/>
          <w:b/>
          <w:i/>
        </w:rPr>
      </w:pPr>
    </w:p>
    <w:p w14:paraId="05266F08" w14:textId="77777777" w:rsidR="00A1284E" w:rsidRPr="00F17CE0" w:rsidRDefault="00A1284E" w:rsidP="00A1284E">
      <w:pPr>
        <w:tabs>
          <w:tab w:val="right" w:pos="9026"/>
        </w:tabs>
        <w:spacing w:after="0" w:line="240" w:lineRule="auto"/>
        <w:contextualSpacing/>
        <w:jc w:val="both"/>
        <w:rPr>
          <w:rFonts w:cs="Calibri"/>
          <w:b/>
          <w:i/>
        </w:rPr>
      </w:pPr>
      <w:r w:rsidRPr="00F17CE0">
        <w:rPr>
          <w:rFonts w:cs="Calibri"/>
          <w:b/>
          <w:i/>
        </w:rPr>
        <w:t>OTHER ITEMS</w:t>
      </w:r>
    </w:p>
    <w:p w14:paraId="2E7E278D" w14:textId="77777777" w:rsidR="00A1284E" w:rsidRPr="00F17CE0" w:rsidRDefault="00A1284E" w:rsidP="00A1284E">
      <w:pPr>
        <w:tabs>
          <w:tab w:val="left" w:pos="709"/>
          <w:tab w:val="right" w:pos="9026"/>
        </w:tabs>
        <w:spacing w:after="0" w:line="240" w:lineRule="auto"/>
        <w:contextualSpacing/>
        <w:rPr>
          <w:rFonts w:asciiTheme="minorHAnsi" w:hAnsiTheme="minorHAnsi" w:cs="Calibri"/>
          <w:b/>
        </w:rPr>
      </w:pPr>
    </w:p>
    <w:p w14:paraId="38C0150E" w14:textId="77777777" w:rsidR="00A1284E" w:rsidRPr="00632EDF" w:rsidRDefault="00A1284E" w:rsidP="00A1284E">
      <w:pPr>
        <w:tabs>
          <w:tab w:val="left" w:pos="709"/>
          <w:tab w:val="right" w:pos="9026"/>
        </w:tabs>
        <w:spacing w:after="0" w:line="240" w:lineRule="auto"/>
        <w:contextualSpacing/>
        <w:rPr>
          <w:rFonts w:asciiTheme="minorHAnsi" w:hAnsiTheme="minorHAnsi" w:cs="Calibri"/>
          <w:b/>
        </w:rPr>
      </w:pPr>
      <w:r w:rsidRPr="00632EDF">
        <w:rPr>
          <w:rFonts w:asciiTheme="minorHAnsi" w:hAnsiTheme="minorHAnsi" w:cs="Calibri"/>
          <w:b/>
        </w:rPr>
        <w:t>23.</w:t>
      </w:r>
      <w:r w:rsidRPr="00632EDF">
        <w:rPr>
          <w:rFonts w:asciiTheme="minorHAnsi" w:hAnsiTheme="minorHAnsi" w:cs="Calibri"/>
          <w:b/>
        </w:rPr>
        <w:tab/>
        <w:t>ANY OTHER COMPETENT BUSINESS</w:t>
      </w:r>
      <w:r w:rsidRPr="00632EDF">
        <w:rPr>
          <w:rFonts w:asciiTheme="minorHAnsi" w:hAnsiTheme="minorHAnsi" w:cs="Calibri"/>
          <w:b/>
        </w:rPr>
        <w:tab/>
      </w:r>
    </w:p>
    <w:p w14:paraId="3BF482D8" w14:textId="77777777" w:rsidR="00237C47" w:rsidRDefault="00237C47" w:rsidP="00632EDF">
      <w:pPr>
        <w:spacing w:after="0" w:line="240" w:lineRule="auto"/>
        <w:ind w:left="720"/>
        <w:contextualSpacing/>
        <w:jc w:val="both"/>
        <w:rPr>
          <w:rFonts w:asciiTheme="minorHAnsi" w:hAnsiTheme="minorHAnsi" w:cs="Calibri"/>
        </w:rPr>
      </w:pPr>
      <w:r>
        <w:rPr>
          <w:rFonts w:asciiTheme="minorHAnsi" w:hAnsiTheme="minorHAnsi" w:cs="Calibri"/>
        </w:rPr>
        <w:t>Members noted that it was the last meeting for the following members:</w:t>
      </w:r>
    </w:p>
    <w:p w14:paraId="2E4C5A42" w14:textId="77777777" w:rsidR="00237C47" w:rsidRPr="00C2703A" w:rsidRDefault="00237C47" w:rsidP="00237C47">
      <w:pPr>
        <w:pStyle w:val="ListParagraph"/>
        <w:numPr>
          <w:ilvl w:val="0"/>
          <w:numId w:val="11"/>
        </w:numPr>
        <w:spacing w:after="0" w:line="240" w:lineRule="auto"/>
        <w:jc w:val="both"/>
        <w:rPr>
          <w:rFonts w:cs="Arial"/>
        </w:rPr>
      </w:pPr>
      <w:r w:rsidRPr="00C2703A">
        <w:rPr>
          <w:rFonts w:cs="Arial"/>
        </w:rPr>
        <w:t>Fiona Sandford</w:t>
      </w:r>
    </w:p>
    <w:p w14:paraId="422F5BE3" w14:textId="77777777" w:rsidR="00237C47" w:rsidRPr="00C2703A" w:rsidRDefault="00237C47" w:rsidP="00237C47">
      <w:pPr>
        <w:pStyle w:val="ListParagraph"/>
        <w:numPr>
          <w:ilvl w:val="0"/>
          <w:numId w:val="11"/>
        </w:numPr>
        <w:spacing w:after="0" w:line="240" w:lineRule="auto"/>
        <w:jc w:val="both"/>
        <w:rPr>
          <w:rFonts w:cs="Arial"/>
        </w:rPr>
      </w:pPr>
      <w:r w:rsidRPr="00C2703A">
        <w:rPr>
          <w:rFonts w:cs="Arial"/>
        </w:rPr>
        <w:t xml:space="preserve">Andrew </w:t>
      </w:r>
      <w:proofErr w:type="spellStart"/>
      <w:r w:rsidRPr="00C2703A">
        <w:rPr>
          <w:rFonts w:cs="Arial"/>
        </w:rPr>
        <w:t>Sturgess</w:t>
      </w:r>
      <w:proofErr w:type="spellEnd"/>
    </w:p>
    <w:p w14:paraId="2DE4D900" w14:textId="77777777" w:rsidR="00237C47" w:rsidRPr="00C2703A" w:rsidRDefault="00237C47" w:rsidP="00237C47">
      <w:pPr>
        <w:pStyle w:val="ListParagraph"/>
        <w:numPr>
          <w:ilvl w:val="0"/>
          <w:numId w:val="11"/>
        </w:numPr>
        <w:spacing w:after="0" w:line="240" w:lineRule="auto"/>
        <w:jc w:val="both"/>
        <w:rPr>
          <w:rFonts w:cs="Arial"/>
        </w:rPr>
      </w:pPr>
      <w:r w:rsidRPr="00C2703A">
        <w:rPr>
          <w:rFonts w:cs="Arial"/>
        </w:rPr>
        <w:t>Lynne Marr</w:t>
      </w:r>
    </w:p>
    <w:p w14:paraId="3F659E0E" w14:textId="77777777" w:rsidR="00237C47" w:rsidRPr="00C2703A" w:rsidRDefault="00237C47" w:rsidP="00237C47">
      <w:pPr>
        <w:pStyle w:val="ListParagraph"/>
        <w:numPr>
          <w:ilvl w:val="0"/>
          <w:numId w:val="11"/>
        </w:numPr>
        <w:spacing w:after="0" w:line="240" w:lineRule="auto"/>
        <w:jc w:val="both"/>
        <w:rPr>
          <w:rFonts w:cs="Arial"/>
        </w:rPr>
      </w:pPr>
      <w:r w:rsidRPr="00C2703A">
        <w:rPr>
          <w:rFonts w:cs="Arial"/>
        </w:rPr>
        <w:t>Simon Anderson</w:t>
      </w:r>
    </w:p>
    <w:p w14:paraId="386D5CBF" w14:textId="77777777" w:rsidR="00237C47" w:rsidRPr="00C2703A" w:rsidRDefault="00237C47" w:rsidP="00237C47">
      <w:pPr>
        <w:pStyle w:val="ListParagraph"/>
        <w:numPr>
          <w:ilvl w:val="0"/>
          <w:numId w:val="11"/>
        </w:numPr>
        <w:spacing w:after="0" w:line="240" w:lineRule="auto"/>
        <w:jc w:val="both"/>
        <w:rPr>
          <w:rFonts w:cs="Arial"/>
        </w:rPr>
      </w:pPr>
      <w:r w:rsidRPr="00C2703A">
        <w:rPr>
          <w:rFonts w:cs="Arial"/>
        </w:rPr>
        <w:t>James Dick</w:t>
      </w:r>
    </w:p>
    <w:p w14:paraId="568BE72C" w14:textId="77777777" w:rsidR="00237C47" w:rsidRDefault="00237C47" w:rsidP="00A1284E">
      <w:pPr>
        <w:tabs>
          <w:tab w:val="left" w:pos="709"/>
          <w:tab w:val="right" w:pos="9026"/>
        </w:tabs>
        <w:spacing w:after="0" w:line="240" w:lineRule="auto"/>
        <w:contextualSpacing/>
        <w:rPr>
          <w:rFonts w:asciiTheme="minorHAnsi" w:hAnsiTheme="minorHAnsi" w:cs="Calibri"/>
          <w:b/>
        </w:rPr>
      </w:pPr>
    </w:p>
    <w:p w14:paraId="50307061" w14:textId="77777777" w:rsidR="00237C47" w:rsidRPr="00237C47" w:rsidRDefault="00237C47" w:rsidP="00237C47">
      <w:pPr>
        <w:tabs>
          <w:tab w:val="left" w:pos="709"/>
          <w:tab w:val="right" w:pos="9026"/>
        </w:tabs>
        <w:spacing w:after="0" w:line="240" w:lineRule="auto"/>
        <w:ind w:left="709"/>
        <w:contextualSpacing/>
        <w:jc w:val="both"/>
        <w:rPr>
          <w:rFonts w:asciiTheme="minorHAnsi" w:hAnsiTheme="minorHAnsi" w:cs="Calibri"/>
        </w:rPr>
      </w:pPr>
      <w:r w:rsidRPr="00237C47">
        <w:rPr>
          <w:rFonts w:asciiTheme="minorHAnsi" w:hAnsiTheme="minorHAnsi" w:cs="Calibri"/>
        </w:rPr>
        <w:t>Members thanked these individuals for their contributions to Court.</w:t>
      </w:r>
      <w:r>
        <w:rPr>
          <w:rFonts w:asciiTheme="minorHAnsi" w:hAnsiTheme="minorHAnsi" w:cs="Calibri"/>
        </w:rPr>
        <w:t xml:space="preserve">  In particular Fiona Sandford was thanked for the time and dedication she had given to the University during her time as Chair of Court.</w:t>
      </w:r>
    </w:p>
    <w:p w14:paraId="6D541A91" w14:textId="77777777" w:rsidR="00237C47" w:rsidRPr="00632EDF" w:rsidRDefault="00237C47" w:rsidP="00A1284E">
      <w:pPr>
        <w:tabs>
          <w:tab w:val="left" w:pos="709"/>
          <w:tab w:val="right" w:pos="9026"/>
        </w:tabs>
        <w:spacing w:after="0" w:line="240" w:lineRule="auto"/>
        <w:contextualSpacing/>
        <w:rPr>
          <w:rFonts w:asciiTheme="minorHAnsi" w:hAnsiTheme="minorHAnsi" w:cs="Calibri"/>
          <w:b/>
        </w:rPr>
      </w:pPr>
    </w:p>
    <w:p w14:paraId="4E8C2B01" w14:textId="77777777" w:rsidR="00A1284E" w:rsidRPr="00632EDF" w:rsidRDefault="00A1284E" w:rsidP="00A1284E">
      <w:pPr>
        <w:tabs>
          <w:tab w:val="left" w:pos="709"/>
          <w:tab w:val="right" w:pos="9026"/>
        </w:tabs>
        <w:spacing w:after="0" w:line="240" w:lineRule="auto"/>
        <w:contextualSpacing/>
        <w:rPr>
          <w:rFonts w:asciiTheme="minorHAnsi" w:hAnsiTheme="minorHAnsi" w:cs="Calibri"/>
          <w:b/>
        </w:rPr>
      </w:pPr>
      <w:r w:rsidRPr="00632EDF">
        <w:rPr>
          <w:rFonts w:asciiTheme="minorHAnsi" w:hAnsiTheme="minorHAnsi" w:cs="Calibri"/>
          <w:b/>
        </w:rPr>
        <w:t>24.</w:t>
      </w:r>
      <w:r w:rsidRPr="00632EDF">
        <w:rPr>
          <w:rFonts w:asciiTheme="minorHAnsi" w:hAnsiTheme="minorHAnsi" w:cs="Calibri"/>
          <w:b/>
        </w:rPr>
        <w:tab/>
        <w:t>NEXT MEETING</w:t>
      </w:r>
      <w:r w:rsidRPr="00632EDF">
        <w:rPr>
          <w:rFonts w:asciiTheme="minorHAnsi" w:hAnsiTheme="minorHAnsi" w:cs="Calibri"/>
          <w:b/>
        </w:rPr>
        <w:tab/>
      </w:r>
    </w:p>
    <w:p w14:paraId="725AA8CA" w14:textId="77777777" w:rsidR="00632EDF" w:rsidRPr="00632EDF" w:rsidRDefault="00632EDF" w:rsidP="00632EDF">
      <w:pPr>
        <w:spacing w:after="0" w:line="240" w:lineRule="auto"/>
        <w:ind w:left="720"/>
        <w:contextualSpacing/>
        <w:jc w:val="both"/>
        <w:rPr>
          <w:rFonts w:cs="Arial"/>
        </w:rPr>
      </w:pPr>
      <w:r w:rsidRPr="00632EDF">
        <w:rPr>
          <w:rFonts w:asciiTheme="minorHAnsi" w:hAnsiTheme="minorHAnsi" w:cs="Calibri"/>
        </w:rPr>
        <w:t xml:space="preserve">Court </w:t>
      </w:r>
      <w:r w:rsidRPr="00632EDF">
        <w:rPr>
          <w:rFonts w:asciiTheme="minorHAnsi" w:hAnsiTheme="minorHAnsi" w:cs="Calibri"/>
          <w:b/>
        </w:rPr>
        <w:t>noted</w:t>
      </w:r>
      <w:r w:rsidRPr="00632EDF">
        <w:rPr>
          <w:rFonts w:asciiTheme="minorHAnsi" w:hAnsiTheme="minorHAnsi" w:cs="Calibri"/>
        </w:rPr>
        <w:t xml:space="preserve"> that the dates for meetings in 2019/20:</w:t>
      </w:r>
    </w:p>
    <w:p w14:paraId="1B0A4F03" w14:textId="77777777" w:rsidR="00A1284E" w:rsidRPr="00F17CE0" w:rsidRDefault="00A1284E" w:rsidP="00A1284E">
      <w:pPr>
        <w:spacing w:after="0" w:line="240" w:lineRule="auto"/>
        <w:ind w:left="709"/>
        <w:contextualSpacing/>
        <w:jc w:val="both"/>
        <w:rPr>
          <w:rFonts w:asciiTheme="minorHAnsi" w:hAnsiTheme="minorHAnsi" w:cs="Calibri"/>
        </w:rPr>
      </w:pPr>
    </w:p>
    <w:p w14:paraId="7585E2DB" w14:textId="77777777" w:rsidR="00A1284E" w:rsidRPr="007B5910" w:rsidRDefault="00A1284E" w:rsidP="00C06F6F">
      <w:pPr>
        <w:numPr>
          <w:ilvl w:val="0"/>
          <w:numId w:val="1"/>
        </w:numPr>
        <w:spacing w:after="0" w:line="240" w:lineRule="auto"/>
        <w:contextualSpacing/>
        <w:jc w:val="both"/>
        <w:rPr>
          <w:rFonts w:asciiTheme="minorHAnsi" w:hAnsiTheme="minorHAnsi" w:cs="Calibri"/>
        </w:rPr>
      </w:pPr>
      <w:r w:rsidRPr="007B5910">
        <w:rPr>
          <w:rFonts w:asciiTheme="minorHAnsi" w:hAnsiTheme="minorHAnsi" w:cs="Calibri"/>
        </w:rPr>
        <w:t xml:space="preserve">23 September 2019 </w:t>
      </w:r>
    </w:p>
    <w:p w14:paraId="2C5CD150" w14:textId="77777777" w:rsidR="00A1284E" w:rsidRPr="007B5910" w:rsidRDefault="00A1284E" w:rsidP="00C06F6F">
      <w:pPr>
        <w:numPr>
          <w:ilvl w:val="0"/>
          <w:numId w:val="1"/>
        </w:numPr>
        <w:spacing w:after="0" w:line="240" w:lineRule="auto"/>
        <w:contextualSpacing/>
        <w:jc w:val="both"/>
        <w:rPr>
          <w:rFonts w:asciiTheme="minorHAnsi" w:hAnsiTheme="minorHAnsi" w:cs="Calibri"/>
        </w:rPr>
      </w:pPr>
      <w:r w:rsidRPr="007B5910">
        <w:rPr>
          <w:rFonts w:asciiTheme="minorHAnsi" w:hAnsiTheme="minorHAnsi" w:cs="Calibri"/>
        </w:rPr>
        <w:t>25 October 2019</w:t>
      </w:r>
      <w:r>
        <w:rPr>
          <w:rFonts w:asciiTheme="minorHAnsi" w:hAnsiTheme="minorHAnsi" w:cs="Calibri"/>
        </w:rPr>
        <w:t xml:space="preserve"> (Strategy Day)</w:t>
      </w:r>
    </w:p>
    <w:p w14:paraId="7FD6B74F" w14:textId="77777777" w:rsidR="00A1284E" w:rsidRPr="007B5910" w:rsidRDefault="00A1284E" w:rsidP="00C06F6F">
      <w:pPr>
        <w:numPr>
          <w:ilvl w:val="0"/>
          <w:numId w:val="1"/>
        </w:numPr>
        <w:spacing w:after="0" w:line="240" w:lineRule="auto"/>
        <w:contextualSpacing/>
        <w:jc w:val="both"/>
        <w:rPr>
          <w:rFonts w:asciiTheme="minorHAnsi" w:hAnsiTheme="minorHAnsi" w:cs="Calibri"/>
        </w:rPr>
      </w:pPr>
      <w:r w:rsidRPr="007B5910">
        <w:rPr>
          <w:rFonts w:asciiTheme="minorHAnsi" w:hAnsiTheme="minorHAnsi" w:cs="Calibri"/>
        </w:rPr>
        <w:t>16 December 2019</w:t>
      </w:r>
    </w:p>
    <w:p w14:paraId="6B435C50" w14:textId="77777777" w:rsidR="00A1284E" w:rsidRPr="007B5910" w:rsidRDefault="00A1284E" w:rsidP="00C06F6F">
      <w:pPr>
        <w:numPr>
          <w:ilvl w:val="0"/>
          <w:numId w:val="1"/>
        </w:numPr>
        <w:spacing w:after="0" w:line="240" w:lineRule="auto"/>
        <w:contextualSpacing/>
        <w:jc w:val="both"/>
        <w:rPr>
          <w:rFonts w:asciiTheme="minorHAnsi" w:hAnsiTheme="minorHAnsi" w:cs="Calibri"/>
        </w:rPr>
      </w:pPr>
      <w:r w:rsidRPr="007B5910">
        <w:rPr>
          <w:rFonts w:asciiTheme="minorHAnsi" w:hAnsiTheme="minorHAnsi" w:cs="Calibri"/>
        </w:rPr>
        <w:t>23 March 2020</w:t>
      </w:r>
    </w:p>
    <w:p w14:paraId="12396AC4" w14:textId="77777777" w:rsidR="00A1284E" w:rsidRPr="007B5910" w:rsidRDefault="00A1284E" w:rsidP="00C06F6F">
      <w:pPr>
        <w:numPr>
          <w:ilvl w:val="0"/>
          <w:numId w:val="1"/>
        </w:numPr>
        <w:spacing w:after="0" w:line="240" w:lineRule="auto"/>
        <w:contextualSpacing/>
        <w:jc w:val="both"/>
        <w:rPr>
          <w:rFonts w:asciiTheme="minorHAnsi" w:hAnsiTheme="minorHAnsi" w:cs="Calibri"/>
        </w:rPr>
      </w:pPr>
      <w:r w:rsidRPr="007B5910">
        <w:rPr>
          <w:rFonts w:asciiTheme="minorHAnsi" w:hAnsiTheme="minorHAnsi" w:cs="Calibri"/>
        </w:rPr>
        <w:t>15 June 2020</w:t>
      </w:r>
    </w:p>
    <w:p w14:paraId="3FC1A4DD" w14:textId="77777777" w:rsidR="006B29DD" w:rsidRPr="00A1284E" w:rsidRDefault="006B29DD" w:rsidP="000E4EA9">
      <w:pPr>
        <w:tabs>
          <w:tab w:val="left" w:pos="709"/>
          <w:tab w:val="right" w:pos="9072"/>
        </w:tabs>
        <w:spacing w:after="0" w:line="240" w:lineRule="auto"/>
        <w:contextualSpacing/>
        <w:rPr>
          <w:rFonts w:cs="Calibri"/>
          <w:b/>
          <w:sz w:val="24"/>
          <w:szCs w:val="24"/>
          <w:highlight w:val="red"/>
        </w:rPr>
      </w:pPr>
    </w:p>
    <w:p w14:paraId="02DE8CF4" w14:textId="77777777" w:rsidR="00D24121" w:rsidRDefault="00D24121" w:rsidP="00ED2811">
      <w:pPr>
        <w:spacing w:after="0" w:line="240" w:lineRule="auto"/>
        <w:contextualSpacing/>
        <w:jc w:val="both"/>
        <w:rPr>
          <w:rFonts w:cs="Calibri"/>
          <w:sz w:val="18"/>
          <w:szCs w:val="18"/>
        </w:rPr>
      </w:pPr>
    </w:p>
    <w:p w14:paraId="2ED217E0" w14:textId="77777777" w:rsidR="00ED2811" w:rsidRPr="00CC3C3F" w:rsidRDefault="008D1A6F" w:rsidP="00ED2811">
      <w:pPr>
        <w:spacing w:after="0" w:line="240" w:lineRule="auto"/>
        <w:contextualSpacing/>
        <w:jc w:val="both"/>
        <w:rPr>
          <w:rFonts w:cs="Calibri"/>
          <w:sz w:val="18"/>
          <w:szCs w:val="18"/>
        </w:rPr>
      </w:pPr>
      <w:r w:rsidRPr="00CC3C3F">
        <w:rPr>
          <w:rFonts w:cs="Calibri"/>
          <w:sz w:val="18"/>
          <w:szCs w:val="18"/>
        </w:rPr>
        <w:t xml:space="preserve">Policy </w:t>
      </w:r>
      <w:r w:rsidR="00835EB2" w:rsidRPr="00CC3C3F">
        <w:rPr>
          <w:rFonts w:cs="Calibri"/>
          <w:sz w:val="18"/>
          <w:szCs w:val="18"/>
        </w:rPr>
        <w:t xml:space="preserve">&amp; </w:t>
      </w:r>
      <w:r w:rsidRPr="00CC3C3F">
        <w:rPr>
          <w:rFonts w:cs="Calibri"/>
          <w:sz w:val="18"/>
          <w:szCs w:val="18"/>
        </w:rPr>
        <w:t>Planning</w:t>
      </w:r>
    </w:p>
    <w:p w14:paraId="4CEABECC" w14:textId="77777777" w:rsidR="003077FF" w:rsidRPr="00CC3C3F" w:rsidRDefault="00632EDF" w:rsidP="00596A6F">
      <w:pPr>
        <w:spacing w:after="0" w:line="240" w:lineRule="auto"/>
        <w:contextualSpacing/>
        <w:jc w:val="both"/>
        <w:rPr>
          <w:rFonts w:cs="Calibri"/>
          <w:sz w:val="18"/>
          <w:szCs w:val="18"/>
        </w:rPr>
      </w:pPr>
      <w:r>
        <w:rPr>
          <w:rFonts w:cs="Calibri"/>
          <w:sz w:val="18"/>
          <w:szCs w:val="18"/>
        </w:rPr>
        <w:t>June</w:t>
      </w:r>
      <w:r w:rsidR="00A80BBB">
        <w:rPr>
          <w:rFonts w:cs="Calibri"/>
          <w:sz w:val="18"/>
          <w:szCs w:val="18"/>
        </w:rPr>
        <w:t xml:space="preserve"> 2019</w:t>
      </w:r>
    </w:p>
    <w:sectPr w:rsidR="003077FF" w:rsidRPr="00CC3C3F" w:rsidSect="00D24121">
      <w:headerReference w:type="default" r:id="rId12"/>
      <w:footerReference w:type="default" r:id="rId13"/>
      <w:pgSz w:w="11906" w:h="16838"/>
      <w:pgMar w:top="1247" w:right="1440" w:bottom="124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A5570" w14:textId="77777777" w:rsidR="00A37DE4" w:rsidRDefault="00A37DE4" w:rsidP="0004055B">
      <w:pPr>
        <w:spacing w:after="0" w:line="240" w:lineRule="auto"/>
      </w:pPr>
      <w:r>
        <w:separator/>
      </w:r>
    </w:p>
  </w:endnote>
  <w:endnote w:type="continuationSeparator" w:id="0">
    <w:p w14:paraId="71A2466E" w14:textId="77777777" w:rsidR="00A37DE4" w:rsidRDefault="00A37DE4" w:rsidP="0004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67E3" w14:textId="77777777" w:rsidR="00204605" w:rsidRPr="00D60727" w:rsidRDefault="00204605" w:rsidP="00EE564E">
    <w:pPr>
      <w:pStyle w:val="Footer"/>
      <w:spacing w:before="240" w:after="0"/>
      <w:jc w:val="right"/>
      <w:rPr>
        <w:rFonts w:ascii="Arial" w:hAnsi="Arial" w:cs="Arial"/>
        <w:i/>
        <w:sz w:val="16"/>
        <w:szCs w:val="16"/>
      </w:rPr>
    </w:pPr>
    <w:r w:rsidRPr="00D60727">
      <w:rPr>
        <w:rFonts w:ascii="Arial" w:hAnsi="Arial" w:cs="Arial"/>
        <w:i/>
        <w:sz w:val="16"/>
        <w:szCs w:val="16"/>
      </w:rPr>
      <w:t xml:space="preserve">Page </w:t>
    </w:r>
    <w:r w:rsidRPr="00D60727">
      <w:rPr>
        <w:rFonts w:ascii="Arial" w:hAnsi="Arial" w:cs="Arial"/>
        <w:i/>
        <w:sz w:val="16"/>
        <w:szCs w:val="16"/>
      </w:rPr>
      <w:fldChar w:fldCharType="begin"/>
    </w:r>
    <w:r w:rsidRPr="00D60727">
      <w:rPr>
        <w:rFonts w:ascii="Arial" w:hAnsi="Arial" w:cs="Arial"/>
        <w:i/>
        <w:sz w:val="16"/>
        <w:szCs w:val="16"/>
      </w:rPr>
      <w:instrText xml:space="preserve"> PAGE </w:instrText>
    </w:r>
    <w:r w:rsidRPr="00D60727">
      <w:rPr>
        <w:rFonts w:ascii="Arial" w:hAnsi="Arial" w:cs="Arial"/>
        <w:i/>
        <w:sz w:val="16"/>
        <w:szCs w:val="16"/>
      </w:rPr>
      <w:fldChar w:fldCharType="separate"/>
    </w:r>
    <w:r w:rsidR="00870D91">
      <w:rPr>
        <w:rFonts w:ascii="Arial" w:hAnsi="Arial" w:cs="Arial"/>
        <w:i/>
        <w:noProof/>
        <w:sz w:val="16"/>
        <w:szCs w:val="16"/>
      </w:rPr>
      <w:t>7</w:t>
    </w:r>
    <w:r w:rsidRPr="00D60727">
      <w:rPr>
        <w:rFonts w:ascii="Arial" w:hAnsi="Arial" w:cs="Arial"/>
        <w:i/>
        <w:sz w:val="16"/>
        <w:szCs w:val="16"/>
      </w:rPr>
      <w:fldChar w:fldCharType="end"/>
    </w:r>
    <w:r w:rsidRPr="00D60727">
      <w:rPr>
        <w:rFonts w:ascii="Arial" w:hAnsi="Arial" w:cs="Arial"/>
        <w:i/>
        <w:sz w:val="16"/>
        <w:szCs w:val="16"/>
      </w:rPr>
      <w:t xml:space="preserve"> of </w:t>
    </w:r>
    <w:r w:rsidRPr="00D60727">
      <w:rPr>
        <w:rFonts w:ascii="Arial" w:hAnsi="Arial" w:cs="Arial"/>
        <w:i/>
        <w:sz w:val="16"/>
        <w:szCs w:val="16"/>
      </w:rPr>
      <w:fldChar w:fldCharType="begin"/>
    </w:r>
    <w:r w:rsidRPr="00D60727">
      <w:rPr>
        <w:rFonts w:ascii="Arial" w:hAnsi="Arial" w:cs="Arial"/>
        <w:i/>
        <w:sz w:val="16"/>
        <w:szCs w:val="16"/>
      </w:rPr>
      <w:instrText xml:space="preserve"> NUMPAGES  </w:instrText>
    </w:r>
    <w:r w:rsidRPr="00D60727">
      <w:rPr>
        <w:rFonts w:ascii="Arial" w:hAnsi="Arial" w:cs="Arial"/>
        <w:i/>
        <w:sz w:val="16"/>
        <w:szCs w:val="16"/>
      </w:rPr>
      <w:fldChar w:fldCharType="separate"/>
    </w:r>
    <w:r w:rsidR="00870D91">
      <w:rPr>
        <w:rFonts w:ascii="Arial" w:hAnsi="Arial" w:cs="Arial"/>
        <w:i/>
        <w:noProof/>
        <w:sz w:val="16"/>
        <w:szCs w:val="16"/>
      </w:rPr>
      <w:t>7</w:t>
    </w:r>
    <w:r w:rsidRPr="00D60727">
      <w:rPr>
        <w:rFonts w:ascii="Arial" w:hAnsi="Arial" w:cs="Arial"/>
        <w:i/>
        <w:sz w:val="16"/>
        <w:szCs w:val="16"/>
      </w:rPr>
      <w:fldChar w:fldCharType="end"/>
    </w:r>
  </w:p>
  <w:p w14:paraId="055F5B71" w14:textId="77777777" w:rsidR="00204605" w:rsidRDefault="00204605">
    <w:pPr>
      <w:pStyle w:val="Footer"/>
      <w:jc w:val="right"/>
    </w:pPr>
  </w:p>
  <w:p w14:paraId="3643A7C9" w14:textId="77777777" w:rsidR="00204605" w:rsidRDefault="00204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A9FF" w14:textId="77777777" w:rsidR="00A37DE4" w:rsidRDefault="00A37DE4" w:rsidP="0004055B">
      <w:pPr>
        <w:spacing w:after="0" w:line="240" w:lineRule="auto"/>
      </w:pPr>
      <w:r>
        <w:separator/>
      </w:r>
    </w:p>
  </w:footnote>
  <w:footnote w:type="continuationSeparator" w:id="0">
    <w:p w14:paraId="01B9F32A" w14:textId="77777777" w:rsidR="00A37DE4" w:rsidRDefault="00A37DE4" w:rsidP="0004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A8C7" w14:textId="77777777" w:rsidR="00204605" w:rsidRPr="00AC707F" w:rsidRDefault="00204605">
    <w:pPr>
      <w:pStyle w:val="Header"/>
    </w:pPr>
    <w:r w:rsidRPr="00AC707F">
      <w:tab/>
    </w:r>
    <w:r w:rsidRPr="00AC707F">
      <w:tab/>
      <w:t>UC (1</w:t>
    </w:r>
    <w:r>
      <w:t>8</w:t>
    </w:r>
    <w:r w:rsidRPr="00AC707F">
      <w:t>/1</w:t>
    </w:r>
    <w:r>
      <w:t>9</w:t>
    </w:r>
    <w:r w:rsidRPr="00AC707F">
      <w:t xml:space="preserve">) Minutes </w:t>
    </w:r>
    <w:r w:rsidR="00E37D7F">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7DE"/>
    <w:multiLevelType w:val="hybridMultilevel"/>
    <w:tmpl w:val="0D3E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9127E"/>
    <w:multiLevelType w:val="hybridMultilevel"/>
    <w:tmpl w:val="544C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3173D"/>
    <w:multiLevelType w:val="hybridMultilevel"/>
    <w:tmpl w:val="5626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167806"/>
    <w:multiLevelType w:val="hybridMultilevel"/>
    <w:tmpl w:val="BF965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3A1D22"/>
    <w:multiLevelType w:val="hybridMultilevel"/>
    <w:tmpl w:val="D01E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213A5"/>
    <w:multiLevelType w:val="hybridMultilevel"/>
    <w:tmpl w:val="BCCA1D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6B480A90"/>
    <w:multiLevelType w:val="hybridMultilevel"/>
    <w:tmpl w:val="D264CA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701C3A46"/>
    <w:multiLevelType w:val="hybridMultilevel"/>
    <w:tmpl w:val="89CA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086A42"/>
    <w:multiLevelType w:val="hybridMultilevel"/>
    <w:tmpl w:val="242ABA7E"/>
    <w:lvl w:ilvl="0" w:tplc="A70CF742">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7F3317"/>
    <w:multiLevelType w:val="hybridMultilevel"/>
    <w:tmpl w:val="82CC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027365"/>
    <w:multiLevelType w:val="hybridMultilevel"/>
    <w:tmpl w:val="0332DA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6"/>
  </w:num>
  <w:num w:numId="2">
    <w:abstractNumId w:val="10"/>
  </w:num>
  <w:num w:numId="3">
    <w:abstractNumId w:val="4"/>
  </w:num>
  <w:num w:numId="4">
    <w:abstractNumId w:val="2"/>
  </w:num>
  <w:num w:numId="5">
    <w:abstractNumId w:val="5"/>
  </w:num>
  <w:num w:numId="6">
    <w:abstractNumId w:val="9"/>
  </w:num>
  <w:num w:numId="7">
    <w:abstractNumId w:val="0"/>
  </w:num>
  <w:num w:numId="8">
    <w:abstractNumId w:val="7"/>
  </w:num>
  <w:num w:numId="9">
    <w:abstractNumId w:val="8"/>
  </w:num>
  <w:num w:numId="10">
    <w:abstractNumId w:val="1"/>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A4"/>
    <w:rsid w:val="000021A0"/>
    <w:rsid w:val="00002AA0"/>
    <w:rsid w:val="000150AF"/>
    <w:rsid w:val="00015FBD"/>
    <w:rsid w:val="00026477"/>
    <w:rsid w:val="000266C4"/>
    <w:rsid w:val="00027065"/>
    <w:rsid w:val="00035E2A"/>
    <w:rsid w:val="00036759"/>
    <w:rsid w:val="000368D1"/>
    <w:rsid w:val="0004055B"/>
    <w:rsid w:val="0004191A"/>
    <w:rsid w:val="00043853"/>
    <w:rsid w:val="00043AA2"/>
    <w:rsid w:val="00044E97"/>
    <w:rsid w:val="00045201"/>
    <w:rsid w:val="00052BEB"/>
    <w:rsid w:val="00052F05"/>
    <w:rsid w:val="0005366E"/>
    <w:rsid w:val="00054591"/>
    <w:rsid w:val="00060ADE"/>
    <w:rsid w:val="00063A04"/>
    <w:rsid w:val="00063D16"/>
    <w:rsid w:val="00065EDC"/>
    <w:rsid w:val="00067B2D"/>
    <w:rsid w:val="00074AAA"/>
    <w:rsid w:val="00082254"/>
    <w:rsid w:val="000849B0"/>
    <w:rsid w:val="00090A29"/>
    <w:rsid w:val="00092842"/>
    <w:rsid w:val="00096CB4"/>
    <w:rsid w:val="00097D4F"/>
    <w:rsid w:val="000B02EA"/>
    <w:rsid w:val="000B21C6"/>
    <w:rsid w:val="000B4B08"/>
    <w:rsid w:val="000B6E58"/>
    <w:rsid w:val="000C4B67"/>
    <w:rsid w:val="000C51AC"/>
    <w:rsid w:val="000C5DE4"/>
    <w:rsid w:val="000D59F8"/>
    <w:rsid w:val="000D6EA7"/>
    <w:rsid w:val="000E0D42"/>
    <w:rsid w:val="000E4EA9"/>
    <w:rsid w:val="000E4ECF"/>
    <w:rsid w:val="000E4F6E"/>
    <w:rsid w:val="000E530F"/>
    <w:rsid w:val="000E7F03"/>
    <w:rsid w:val="000F0BF3"/>
    <w:rsid w:val="000F36C0"/>
    <w:rsid w:val="000F45D4"/>
    <w:rsid w:val="000F60FA"/>
    <w:rsid w:val="000F7409"/>
    <w:rsid w:val="000F7859"/>
    <w:rsid w:val="001017C2"/>
    <w:rsid w:val="00103765"/>
    <w:rsid w:val="00104121"/>
    <w:rsid w:val="00105AB5"/>
    <w:rsid w:val="00107600"/>
    <w:rsid w:val="0010776A"/>
    <w:rsid w:val="00116CB2"/>
    <w:rsid w:val="0011750E"/>
    <w:rsid w:val="00117F1A"/>
    <w:rsid w:val="00117F42"/>
    <w:rsid w:val="001205D2"/>
    <w:rsid w:val="001275CA"/>
    <w:rsid w:val="001307C0"/>
    <w:rsid w:val="00130A12"/>
    <w:rsid w:val="00133B1B"/>
    <w:rsid w:val="001355CA"/>
    <w:rsid w:val="001357A8"/>
    <w:rsid w:val="0014177B"/>
    <w:rsid w:val="00150CF4"/>
    <w:rsid w:val="00151A5A"/>
    <w:rsid w:val="001554B1"/>
    <w:rsid w:val="00157893"/>
    <w:rsid w:val="001602BB"/>
    <w:rsid w:val="00162866"/>
    <w:rsid w:val="00163D8A"/>
    <w:rsid w:val="001673EC"/>
    <w:rsid w:val="0016765E"/>
    <w:rsid w:val="0017294F"/>
    <w:rsid w:val="00176AF1"/>
    <w:rsid w:val="00176F5A"/>
    <w:rsid w:val="001807A9"/>
    <w:rsid w:val="001808D5"/>
    <w:rsid w:val="00183243"/>
    <w:rsid w:val="00184A59"/>
    <w:rsid w:val="00185A76"/>
    <w:rsid w:val="00190AFD"/>
    <w:rsid w:val="00194E61"/>
    <w:rsid w:val="0019521F"/>
    <w:rsid w:val="001968F7"/>
    <w:rsid w:val="00197B9A"/>
    <w:rsid w:val="001A0DA4"/>
    <w:rsid w:val="001A526A"/>
    <w:rsid w:val="001B1664"/>
    <w:rsid w:val="001B45FE"/>
    <w:rsid w:val="001B556D"/>
    <w:rsid w:val="001B64E8"/>
    <w:rsid w:val="001C3A1F"/>
    <w:rsid w:val="001C4F9D"/>
    <w:rsid w:val="001C6173"/>
    <w:rsid w:val="001D27EC"/>
    <w:rsid w:val="001D3412"/>
    <w:rsid w:val="001D3E1F"/>
    <w:rsid w:val="001E5F28"/>
    <w:rsid w:val="001E7237"/>
    <w:rsid w:val="001E7A1E"/>
    <w:rsid w:val="001F4D40"/>
    <w:rsid w:val="001F5BD6"/>
    <w:rsid w:val="001F6EE9"/>
    <w:rsid w:val="001F74BD"/>
    <w:rsid w:val="002010BC"/>
    <w:rsid w:val="00202753"/>
    <w:rsid w:val="00204605"/>
    <w:rsid w:val="00225445"/>
    <w:rsid w:val="00230D68"/>
    <w:rsid w:val="00231943"/>
    <w:rsid w:val="00234217"/>
    <w:rsid w:val="00236B65"/>
    <w:rsid w:val="00237C47"/>
    <w:rsid w:val="00245FC3"/>
    <w:rsid w:val="00247EEE"/>
    <w:rsid w:val="00256C58"/>
    <w:rsid w:val="0026121C"/>
    <w:rsid w:val="00262508"/>
    <w:rsid w:val="00263D27"/>
    <w:rsid w:val="00277C88"/>
    <w:rsid w:val="00283B6C"/>
    <w:rsid w:val="00283C05"/>
    <w:rsid w:val="00286D6B"/>
    <w:rsid w:val="002902BF"/>
    <w:rsid w:val="002946E6"/>
    <w:rsid w:val="00295447"/>
    <w:rsid w:val="002A130D"/>
    <w:rsid w:val="002A56A7"/>
    <w:rsid w:val="002C17DA"/>
    <w:rsid w:val="002C1BD2"/>
    <w:rsid w:val="002D03E1"/>
    <w:rsid w:val="002D0672"/>
    <w:rsid w:val="002D5100"/>
    <w:rsid w:val="002D792E"/>
    <w:rsid w:val="002E24BB"/>
    <w:rsid w:val="002E4B32"/>
    <w:rsid w:val="002E7A36"/>
    <w:rsid w:val="003001EA"/>
    <w:rsid w:val="003040D6"/>
    <w:rsid w:val="0030526A"/>
    <w:rsid w:val="00305A75"/>
    <w:rsid w:val="003077FF"/>
    <w:rsid w:val="0031242C"/>
    <w:rsid w:val="00317FBB"/>
    <w:rsid w:val="00320486"/>
    <w:rsid w:val="0032242B"/>
    <w:rsid w:val="003225FF"/>
    <w:rsid w:val="00325FB6"/>
    <w:rsid w:val="003358FE"/>
    <w:rsid w:val="003372FE"/>
    <w:rsid w:val="00337A51"/>
    <w:rsid w:val="00342EC5"/>
    <w:rsid w:val="00342EF4"/>
    <w:rsid w:val="003436D8"/>
    <w:rsid w:val="00343E2B"/>
    <w:rsid w:val="0034429E"/>
    <w:rsid w:val="00350A94"/>
    <w:rsid w:val="00350FB2"/>
    <w:rsid w:val="003521B6"/>
    <w:rsid w:val="003626BE"/>
    <w:rsid w:val="00363192"/>
    <w:rsid w:val="00366ED2"/>
    <w:rsid w:val="00377A39"/>
    <w:rsid w:val="00387145"/>
    <w:rsid w:val="00396845"/>
    <w:rsid w:val="00396A82"/>
    <w:rsid w:val="003B07F3"/>
    <w:rsid w:val="003B22CE"/>
    <w:rsid w:val="003B3B0C"/>
    <w:rsid w:val="003C2B37"/>
    <w:rsid w:val="003C4A6A"/>
    <w:rsid w:val="003D05F8"/>
    <w:rsid w:val="003D3CE1"/>
    <w:rsid w:val="003D637C"/>
    <w:rsid w:val="003D7870"/>
    <w:rsid w:val="003E4A9A"/>
    <w:rsid w:val="003E7BAF"/>
    <w:rsid w:val="003F0600"/>
    <w:rsid w:val="003F11CB"/>
    <w:rsid w:val="003F2A17"/>
    <w:rsid w:val="003F6B43"/>
    <w:rsid w:val="003F7DDF"/>
    <w:rsid w:val="004013DE"/>
    <w:rsid w:val="00401744"/>
    <w:rsid w:val="0040574C"/>
    <w:rsid w:val="004064C8"/>
    <w:rsid w:val="00407388"/>
    <w:rsid w:val="00413C1C"/>
    <w:rsid w:val="00415312"/>
    <w:rsid w:val="004156A4"/>
    <w:rsid w:val="0041645F"/>
    <w:rsid w:val="00417D05"/>
    <w:rsid w:val="00425E58"/>
    <w:rsid w:val="00426259"/>
    <w:rsid w:val="004305D2"/>
    <w:rsid w:val="004315EF"/>
    <w:rsid w:val="0043478B"/>
    <w:rsid w:val="00435A88"/>
    <w:rsid w:val="00437A96"/>
    <w:rsid w:val="00442FD6"/>
    <w:rsid w:val="004460CA"/>
    <w:rsid w:val="00452128"/>
    <w:rsid w:val="00456643"/>
    <w:rsid w:val="0045709C"/>
    <w:rsid w:val="00457D85"/>
    <w:rsid w:val="00457ECA"/>
    <w:rsid w:val="0046297F"/>
    <w:rsid w:val="004655A7"/>
    <w:rsid w:val="004669D9"/>
    <w:rsid w:val="004674D5"/>
    <w:rsid w:val="0047416B"/>
    <w:rsid w:val="00474D4D"/>
    <w:rsid w:val="00476FA8"/>
    <w:rsid w:val="00480F87"/>
    <w:rsid w:val="00483B48"/>
    <w:rsid w:val="00487A5A"/>
    <w:rsid w:val="00490593"/>
    <w:rsid w:val="0049326D"/>
    <w:rsid w:val="004972DE"/>
    <w:rsid w:val="004A39C5"/>
    <w:rsid w:val="004A4B43"/>
    <w:rsid w:val="004B0B34"/>
    <w:rsid w:val="004D0FFB"/>
    <w:rsid w:val="004D1648"/>
    <w:rsid w:val="004E267E"/>
    <w:rsid w:val="004E60CA"/>
    <w:rsid w:val="004F1A64"/>
    <w:rsid w:val="004F66C2"/>
    <w:rsid w:val="00501270"/>
    <w:rsid w:val="00501CB7"/>
    <w:rsid w:val="00504C69"/>
    <w:rsid w:val="00506234"/>
    <w:rsid w:val="00507BF3"/>
    <w:rsid w:val="005241EA"/>
    <w:rsid w:val="00524BBF"/>
    <w:rsid w:val="00526BC3"/>
    <w:rsid w:val="00527490"/>
    <w:rsid w:val="00532602"/>
    <w:rsid w:val="0053781E"/>
    <w:rsid w:val="00540423"/>
    <w:rsid w:val="005423A3"/>
    <w:rsid w:val="00544CE3"/>
    <w:rsid w:val="00545169"/>
    <w:rsid w:val="00545A1F"/>
    <w:rsid w:val="00545AE2"/>
    <w:rsid w:val="00552FF5"/>
    <w:rsid w:val="005539DA"/>
    <w:rsid w:val="00560522"/>
    <w:rsid w:val="005632C4"/>
    <w:rsid w:val="005666D8"/>
    <w:rsid w:val="00567B5B"/>
    <w:rsid w:val="0057021A"/>
    <w:rsid w:val="00571374"/>
    <w:rsid w:val="005830A3"/>
    <w:rsid w:val="0058451A"/>
    <w:rsid w:val="00584916"/>
    <w:rsid w:val="0058546C"/>
    <w:rsid w:val="005952C9"/>
    <w:rsid w:val="00596A6F"/>
    <w:rsid w:val="005A0CBD"/>
    <w:rsid w:val="005A2D4E"/>
    <w:rsid w:val="005A6DB5"/>
    <w:rsid w:val="005B26BB"/>
    <w:rsid w:val="005B516C"/>
    <w:rsid w:val="005B5710"/>
    <w:rsid w:val="005B6A08"/>
    <w:rsid w:val="005B720D"/>
    <w:rsid w:val="005C4712"/>
    <w:rsid w:val="005C66B6"/>
    <w:rsid w:val="005D2D58"/>
    <w:rsid w:val="005D3988"/>
    <w:rsid w:val="005D6D31"/>
    <w:rsid w:val="005E147E"/>
    <w:rsid w:val="005E769B"/>
    <w:rsid w:val="005F0924"/>
    <w:rsid w:val="005F0CB2"/>
    <w:rsid w:val="005F76E5"/>
    <w:rsid w:val="00600BA2"/>
    <w:rsid w:val="00600F84"/>
    <w:rsid w:val="0060692A"/>
    <w:rsid w:val="00607027"/>
    <w:rsid w:val="00610311"/>
    <w:rsid w:val="00611054"/>
    <w:rsid w:val="00612474"/>
    <w:rsid w:val="006129B7"/>
    <w:rsid w:val="00612FE5"/>
    <w:rsid w:val="00617ED9"/>
    <w:rsid w:val="00620195"/>
    <w:rsid w:val="00627CBA"/>
    <w:rsid w:val="00630B5D"/>
    <w:rsid w:val="00632EDF"/>
    <w:rsid w:val="00636F5F"/>
    <w:rsid w:val="00652E35"/>
    <w:rsid w:val="00657819"/>
    <w:rsid w:val="00661235"/>
    <w:rsid w:val="00663E14"/>
    <w:rsid w:val="00664264"/>
    <w:rsid w:val="00670FB5"/>
    <w:rsid w:val="00671D59"/>
    <w:rsid w:val="00673941"/>
    <w:rsid w:val="00674AE6"/>
    <w:rsid w:val="00677C84"/>
    <w:rsid w:val="0069043C"/>
    <w:rsid w:val="00695B08"/>
    <w:rsid w:val="00697A58"/>
    <w:rsid w:val="006A12B4"/>
    <w:rsid w:val="006A1B97"/>
    <w:rsid w:val="006B29DD"/>
    <w:rsid w:val="006C7633"/>
    <w:rsid w:val="006D0F71"/>
    <w:rsid w:val="006D34E7"/>
    <w:rsid w:val="006E240E"/>
    <w:rsid w:val="006E417E"/>
    <w:rsid w:val="00700715"/>
    <w:rsid w:val="007020D6"/>
    <w:rsid w:val="00710E30"/>
    <w:rsid w:val="007131CF"/>
    <w:rsid w:val="007162EE"/>
    <w:rsid w:val="007165A7"/>
    <w:rsid w:val="007165EC"/>
    <w:rsid w:val="00717AF4"/>
    <w:rsid w:val="007224C5"/>
    <w:rsid w:val="007229D5"/>
    <w:rsid w:val="007306B3"/>
    <w:rsid w:val="00732A22"/>
    <w:rsid w:val="007366BD"/>
    <w:rsid w:val="0074092E"/>
    <w:rsid w:val="007415C6"/>
    <w:rsid w:val="00742D05"/>
    <w:rsid w:val="00743D36"/>
    <w:rsid w:val="00743FA2"/>
    <w:rsid w:val="00745175"/>
    <w:rsid w:val="00747B7D"/>
    <w:rsid w:val="00755853"/>
    <w:rsid w:val="00755ECF"/>
    <w:rsid w:val="00757D0B"/>
    <w:rsid w:val="007644FF"/>
    <w:rsid w:val="00766997"/>
    <w:rsid w:val="00766FF4"/>
    <w:rsid w:val="00771319"/>
    <w:rsid w:val="00773237"/>
    <w:rsid w:val="00773D93"/>
    <w:rsid w:val="00776DBA"/>
    <w:rsid w:val="007778C5"/>
    <w:rsid w:val="00781B46"/>
    <w:rsid w:val="007830D9"/>
    <w:rsid w:val="007842E7"/>
    <w:rsid w:val="00785521"/>
    <w:rsid w:val="00786563"/>
    <w:rsid w:val="007968C7"/>
    <w:rsid w:val="00797C0C"/>
    <w:rsid w:val="007A1FF8"/>
    <w:rsid w:val="007A498A"/>
    <w:rsid w:val="007A60A0"/>
    <w:rsid w:val="007B5B86"/>
    <w:rsid w:val="007B7DB3"/>
    <w:rsid w:val="007C0822"/>
    <w:rsid w:val="007C0C5D"/>
    <w:rsid w:val="007C1BC7"/>
    <w:rsid w:val="007C1F0D"/>
    <w:rsid w:val="007C2BE5"/>
    <w:rsid w:val="007D395A"/>
    <w:rsid w:val="007D3D0F"/>
    <w:rsid w:val="007D672A"/>
    <w:rsid w:val="007E2E51"/>
    <w:rsid w:val="007F1FD7"/>
    <w:rsid w:val="007F6CD7"/>
    <w:rsid w:val="00811532"/>
    <w:rsid w:val="00812EA6"/>
    <w:rsid w:val="00813091"/>
    <w:rsid w:val="00815F38"/>
    <w:rsid w:val="00817CC8"/>
    <w:rsid w:val="00823091"/>
    <w:rsid w:val="008322C8"/>
    <w:rsid w:val="00832D20"/>
    <w:rsid w:val="00834C1D"/>
    <w:rsid w:val="00835EB2"/>
    <w:rsid w:val="00837900"/>
    <w:rsid w:val="008429E1"/>
    <w:rsid w:val="008440FB"/>
    <w:rsid w:val="008441E5"/>
    <w:rsid w:val="00845951"/>
    <w:rsid w:val="00847222"/>
    <w:rsid w:val="00847885"/>
    <w:rsid w:val="00847DF5"/>
    <w:rsid w:val="00854721"/>
    <w:rsid w:val="00854762"/>
    <w:rsid w:val="00863000"/>
    <w:rsid w:val="00866E7B"/>
    <w:rsid w:val="00870D91"/>
    <w:rsid w:val="00874DE6"/>
    <w:rsid w:val="00880748"/>
    <w:rsid w:val="00881C5D"/>
    <w:rsid w:val="00887F28"/>
    <w:rsid w:val="008906E3"/>
    <w:rsid w:val="00893787"/>
    <w:rsid w:val="00894A24"/>
    <w:rsid w:val="008959AA"/>
    <w:rsid w:val="008A53A7"/>
    <w:rsid w:val="008C192B"/>
    <w:rsid w:val="008C220D"/>
    <w:rsid w:val="008C2A29"/>
    <w:rsid w:val="008C3357"/>
    <w:rsid w:val="008C7778"/>
    <w:rsid w:val="008D1A6F"/>
    <w:rsid w:val="008D3D21"/>
    <w:rsid w:val="008D5694"/>
    <w:rsid w:val="008D62B2"/>
    <w:rsid w:val="008D64C7"/>
    <w:rsid w:val="008D7352"/>
    <w:rsid w:val="008E6D03"/>
    <w:rsid w:val="008F027D"/>
    <w:rsid w:val="008F4A1F"/>
    <w:rsid w:val="008F4A75"/>
    <w:rsid w:val="0090004A"/>
    <w:rsid w:val="00902E65"/>
    <w:rsid w:val="00904A11"/>
    <w:rsid w:val="009051AB"/>
    <w:rsid w:val="00905FCE"/>
    <w:rsid w:val="0090637F"/>
    <w:rsid w:val="009111D7"/>
    <w:rsid w:val="009253B6"/>
    <w:rsid w:val="009253C4"/>
    <w:rsid w:val="009272AF"/>
    <w:rsid w:val="00930F31"/>
    <w:rsid w:val="00934C5F"/>
    <w:rsid w:val="00944B5A"/>
    <w:rsid w:val="00952676"/>
    <w:rsid w:val="009564CA"/>
    <w:rsid w:val="009700A3"/>
    <w:rsid w:val="009708E2"/>
    <w:rsid w:val="009730BA"/>
    <w:rsid w:val="00975AA1"/>
    <w:rsid w:val="0098076B"/>
    <w:rsid w:val="00981693"/>
    <w:rsid w:val="0098460B"/>
    <w:rsid w:val="009850FC"/>
    <w:rsid w:val="00986F10"/>
    <w:rsid w:val="00991136"/>
    <w:rsid w:val="00991182"/>
    <w:rsid w:val="00991966"/>
    <w:rsid w:val="00991B8A"/>
    <w:rsid w:val="009923B9"/>
    <w:rsid w:val="00993633"/>
    <w:rsid w:val="00993BFD"/>
    <w:rsid w:val="0099748F"/>
    <w:rsid w:val="009A17A9"/>
    <w:rsid w:val="009B0A7F"/>
    <w:rsid w:val="009C491C"/>
    <w:rsid w:val="009C6390"/>
    <w:rsid w:val="009C7CA7"/>
    <w:rsid w:val="009D1ADF"/>
    <w:rsid w:val="009D2D63"/>
    <w:rsid w:val="009D3ACF"/>
    <w:rsid w:val="009D596D"/>
    <w:rsid w:val="009E1CAE"/>
    <w:rsid w:val="009E3276"/>
    <w:rsid w:val="009E4780"/>
    <w:rsid w:val="009E4BB0"/>
    <w:rsid w:val="009F4809"/>
    <w:rsid w:val="00A01A2D"/>
    <w:rsid w:val="00A04C08"/>
    <w:rsid w:val="00A1284E"/>
    <w:rsid w:val="00A175FE"/>
    <w:rsid w:val="00A208A1"/>
    <w:rsid w:val="00A217C6"/>
    <w:rsid w:val="00A21ABE"/>
    <w:rsid w:val="00A22E36"/>
    <w:rsid w:val="00A26C8E"/>
    <w:rsid w:val="00A3156A"/>
    <w:rsid w:val="00A31991"/>
    <w:rsid w:val="00A34498"/>
    <w:rsid w:val="00A35064"/>
    <w:rsid w:val="00A37DE4"/>
    <w:rsid w:val="00A4134E"/>
    <w:rsid w:val="00A443BC"/>
    <w:rsid w:val="00A44913"/>
    <w:rsid w:val="00A47DDA"/>
    <w:rsid w:val="00A63C43"/>
    <w:rsid w:val="00A64D3E"/>
    <w:rsid w:val="00A66F24"/>
    <w:rsid w:val="00A743D3"/>
    <w:rsid w:val="00A75216"/>
    <w:rsid w:val="00A75A12"/>
    <w:rsid w:val="00A76A5E"/>
    <w:rsid w:val="00A77074"/>
    <w:rsid w:val="00A777B8"/>
    <w:rsid w:val="00A77996"/>
    <w:rsid w:val="00A80858"/>
    <w:rsid w:val="00A80BBB"/>
    <w:rsid w:val="00A82996"/>
    <w:rsid w:val="00A82ACE"/>
    <w:rsid w:val="00A862A4"/>
    <w:rsid w:val="00A87A1E"/>
    <w:rsid w:val="00A91F9F"/>
    <w:rsid w:val="00A96143"/>
    <w:rsid w:val="00AA19DB"/>
    <w:rsid w:val="00AA4684"/>
    <w:rsid w:val="00AA4D62"/>
    <w:rsid w:val="00AB3777"/>
    <w:rsid w:val="00AB4E85"/>
    <w:rsid w:val="00AB5656"/>
    <w:rsid w:val="00AB65C2"/>
    <w:rsid w:val="00AB7E65"/>
    <w:rsid w:val="00AC1082"/>
    <w:rsid w:val="00AC11B8"/>
    <w:rsid w:val="00AC3830"/>
    <w:rsid w:val="00AC641D"/>
    <w:rsid w:val="00AC707F"/>
    <w:rsid w:val="00AC7A9E"/>
    <w:rsid w:val="00AC7CF4"/>
    <w:rsid w:val="00AD0525"/>
    <w:rsid w:val="00AD0B79"/>
    <w:rsid w:val="00AD0FD8"/>
    <w:rsid w:val="00AD1EB2"/>
    <w:rsid w:val="00AD4583"/>
    <w:rsid w:val="00AD54A1"/>
    <w:rsid w:val="00AD6179"/>
    <w:rsid w:val="00AD6652"/>
    <w:rsid w:val="00AE271C"/>
    <w:rsid w:val="00AE2BB3"/>
    <w:rsid w:val="00AE398C"/>
    <w:rsid w:val="00AE4B9E"/>
    <w:rsid w:val="00AE613B"/>
    <w:rsid w:val="00AE6891"/>
    <w:rsid w:val="00AE76B6"/>
    <w:rsid w:val="00AF1D88"/>
    <w:rsid w:val="00AF4BED"/>
    <w:rsid w:val="00AF6961"/>
    <w:rsid w:val="00AF7486"/>
    <w:rsid w:val="00AF7A0A"/>
    <w:rsid w:val="00AF7E6F"/>
    <w:rsid w:val="00B00343"/>
    <w:rsid w:val="00B03B89"/>
    <w:rsid w:val="00B05806"/>
    <w:rsid w:val="00B11277"/>
    <w:rsid w:val="00B122D9"/>
    <w:rsid w:val="00B130B9"/>
    <w:rsid w:val="00B139F2"/>
    <w:rsid w:val="00B14EC5"/>
    <w:rsid w:val="00B14F43"/>
    <w:rsid w:val="00B179BB"/>
    <w:rsid w:val="00B24A0C"/>
    <w:rsid w:val="00B32761"/>
    <w:rsid w:val="00B33AA1"/>
    <w:rsid w:val="00B34173"/>
    <w:rsid w:val="00B36627"/>
    <w:rsid w:val="00B3788B"/>
    <w:rsid w:val="00B400A7"/>
    <w:rsid w:val="00B41FC5"/>
    <w:rsid w:val="00B43782"/>
    <w:rsid w:val="00B47A7F"/>
    <w:rsid w:val="00B607A5"/>
    <w:rsid w:val="00B61A05"/>
    <w:rsid w:val="00B6362E"/>
    <w:rsid w:val="00B74995"/>
    <w:rsid w:val="00B8679E"/>
    <w:rsid w:val="00BA372E"/>
    <w:rsid w:val="00BA3789"/>
    <w:rsid w:val="00BA3A35"/>
    <w:rsid w:val="00BA402B"/>
    <w:rsid w:val="00BB2A6D"/>
    <w:rsid w:val="00BB4FCF"/>
    <w:rsid w:val="00BC1E3A"/>
    <w:rsid w:val="00BC21D2"/>
    <w:rsid w:val="00BD0E06"/>
    <w:rsid w:val="00BD1534"/>
    <w:rsid w:val="00BD69C0"/>
    <w:rsid w:val="00BE31AA"/>
    <w:rsid w:val="00BE7AA5"/>
    <w:rsid w:val="00BF37A4"/>
    <w:rsid w:val="00C00B7B"/>
    <w:rsid w:val="00C03E11"/>
    <w:rsid w:val="00C05208"/>
    <w:rsid w:val="00C06F6F"/>
    <w:rsid w:val="00C13781"/>
    <w:rsid w:val="00C13C90"/>
    <w:rsid w:val="00C20E92"/>
    <w:rsid w:val="00C2399D"/>
    <w:rsid w:val="00C249F0"/>
    <w:rsid w:val="00C37F79"/>
    <w:rsid w:val="00C402B8"/>
    <w:rsid w:val="00C45001"/>
    <w:rsid w:val="00C5601D"/>
    <w:rsid w:val="00C63760"/>
    <w:rsid w:val="00C63D7F"/>
    <w:rsid w:val="00C70696"/>
    <w:rsid w:val="00C8724E"/>
    <w:rsid w:val="00C9015B"/>
    <w:rsid w:val="00C92722"/>
    <w:rsid w:val="00C93110"/>
    <w:rsid w:val="00CA011A"/>
    <w:rsid w:val="00CA0FEE"/>
    <w:rsid w:val="00CA1DE9"/>
    <w:rsid w:val="00CA3438"/>
    <w:rsid w:val="00CA7E6C"/>
    <w:rsid w:val="00CB0E3F"/>
    <w:rsid w:val="00CB6BB0"/>
    <w:rsid w:val="00CB7471"/>
    <w:rsid w:val="00CB7DAC"/>
    <w:rsid w:val="00CC0CE7"/>
    <w:rsid w:val="00CC0D8E"/>
    <w:rsid w:val="00CC0FDF"/>
    <w:rsid w:val="00CC2C92"/>
    <w:rsid w:val="00CC3C3F"/>
    <w:rsid w:val="00CD0CE1"/>
    <w:rsid w:val="00CD1945"/>
    <w:rsid w:val="00CD1B99"/>
    <w:rsid w:val="00CD3EE0"/>
    <w:rsid w:val="00CD4781"/>
    <w:rsid w:val="00CD6501"/>
    <w:rsid w:val="00CE3CC4"/>
    <w:rsid w:val="00CE607B"/>
    <w:rsid w:val="00CF37FD"/>
    <w:rsid w:val="00CF3B40"/>
    <w:rsid w:val="00CF4CDC"/>
    <w:rsid w:val="00D0029E"/>
    <w:rsid w:val="00D032E1"/>
    <w:rsid w:val="00D051C4"/>
    <w:rsid w:val="00D106DE"/>
    <w:rsid w:val="00D11BC8"/>
    <w:rsid w:val="00D12429"/>
    <w:rsid w:val="00D133E9"/>
    <w:rsid w:val="00D16916"/>
    <w:rsid w:val="00D24121"/>
    <w:rsid w:val="00D31606"/>
    <w:rsid w:val="00D31EE4"/>
    <w:rsid w:val="00D505C1"/>
    <w:rsid w:val="00D5444D"/>
    <w:rsid w:val="00D548C2"/>
    <w:rsid w:val="00D559AD"/>
    <w:rsid w:val="00D60F9D"/>
    <w:rsid w:val="00D63B5A"/>
    <w:rsid w:val="00D66ECE"/>
    <w:rsid w:val="00D67AAA"/>
    <w:rsid w:val="00D67B12"/>
    <w:rsid w:val="00D72721"/>
    <w:rsid w:val="00D92400"/>
    <w:rsid w:val="00DA24C6"/>
    <w:rsid w:val="00DA53DF"/>
    <w:rsid w:val="00DA67B1"/>
    <w:rsid w:val="00DB303A"/>
    <w:rsid w:val="00DC0366"/>
    <w:rsid w:val="00DC0D56"/>
    <w:rsid w:val="00DC16AE"/>
    <w:rsid w:val="00DC206C"/>
    <w:rsid w:val="00DD2B5E"/>
    <w:rsid w:val="00DE1E07"/>
    <w:rsid w:val="00DE228A"/>
    <w:rsid w:val="00DE40A1"/>
    <w:rsid w:val="00DE7637"/>
    <w:rsid w:val="00DF04F5"/>
    <w:rsid w:val="00DF37AB"/>
    <w:rsid w:val="00E00411"/>
    <w:rsid w:val="00E11861"/>
    <w:rsid w:val="00E11C43"/>
    <w:rsid w:val="00E121E8"/>
    <w:rsid w:val="00E20088"/>
    <w:rsid w:val="00E26354"/>
    <w:rsid w:val="00E30201"/>
    <w:rsid w:val="00E30B2B"/>
    <w:rsid w:val="00E31E7F"/>
    <w:rsid w:val="00E346D1"/>
    <w:rsid w:val="00E350A3"/>
    <w:rsid w:val="00E37D7F"/>
    <w:rsid w:val="00E417E1"/>
    <w:rsid w:val="00E45F21"/>
    <w:rsid w:val="00E47DB4"/>
    <w:rsid w:val="00E54601"/>
    <w:rsid w:val="00E56C5C"/>
    <w:rsid w:val="00E6076C"/>
    <w:rsid w:val="00E66C2E"/>
    <w:rsid w:val="00E7679B"/>
    <w:rsid w:val="00E81950"/>
    <w:rsid w:val="00E81F6F"/>
    <w:rsid w:val="00E87C32"/>
    <w:rsid w:val="00E91C49"/>
    <w:rsid w:val="00E943EB"/>
    <w:rsid w:val="00EA3519"/>
    <w:rsid w:val="00EA45CF"/>
    <w:rsid w:val="00EA475F"/>
    <w:rsid w:val="00EA5CCC"/>
    <w:rsid w:val="00EA79E3"/>
    <w:rsid w:val="00EB264D"/>
    <w:rsid w:val="00EB47DF"/>
    <w:rsid w:val="00EB5B6D"/>
    <w:rsid w:val="00EB7A3A"/>
    <w:rsid w:val="00EC0546"/>
    <w:rsid w:val="00EC1469"/>
    <w:rsid w:val="00EC537A"/>
    <w:rsid w:val="00ED2811"/>
    <w:rsid w:val="00ED4734"/>
    <w:rsid w:val="00ED5C9C"/>
    <w:rsid w:val="00ED6133"/>
    <w:rsid w:val="00ED6661"/>
    <w:rsid w:val="00EE0501"/>
    <w:rsid w:val="00EE3F93"/>
    <w:rsid w:val="00EE49D9"/>
    <w:rsid w:val="00EE564E"/>
    <w:rsid w:val="00EE5BDA"/>
    <w:rsid w:val="00EE60D7"/>
    <w:rsid w:val="00EE6FB6"/>
    <w:rsid w:val="00EF2548"/>
    <w:rsid w:val="00EF66F3"/>
    <w:rsid w:val="00F077D8"/>
    <w:rsid w:val="00F1181A"/>
    <w:rsid w:val="00F127B6"/>
    <w:rsid w:val="00F1634B"/>
    <w:rsid w:val="00F1683C"/>
    <w:rsid w:val="00F23319"/>
    <w:rsid w:val="00F26B47"/>
    <w:rsid w:val="00F31695"/>
    <w:rsid w:val="00F37379"/>
    <w:rsid w:val="00F37398"/>
    <w:rsid w:val="00F4135B"/>
    <w:rsid w:val="00F43996"/>
    <w:rsid w:val="00F441A7"/>
    <w:rsid w:val="00F46AE6"/>
    <w:rsid w:val="00F46D36"/>
    <w:rsid w:val="00F5341B"/>
    <w:rsid w:val="00F53E0B"/>
    <w:rsid w:val="00F60F27"/>
    <w:rsid w:val="00F6198B"/>
    <w:rsid w:val="00F64685"/>
    <w:rsid w:val="00F73303"/>
    <w:rsid w:val="00F7470F"/>
    <w:rsid w:val="00F74A70"/>
    <w:rsid w:val="00F9280B"/>
    <w:rsid w:val="00F932B1"/>
    <w:rsid w:val="00F965D6"/>
    <w:rsid w:val="00FA3011"/>
    <w:rsid w:val="00FA305F"/>
    <w:rsid w:val="00FB0A51"/>
    <w:rsid w:val="00FB2757"/>
    <w:rsid w:val="00FB3688"/>
    <w:rsid w:val="00FB3CC4"/>
    <w:rsid w:val="00FB3F47"/>
    <w:rsid w:val="00FB4737"/>
    <w:rsid w:val="00FB5241"/>
    <w:rsid w:val="00FB78A1"/>
    <w:rsid w:val="00FB7995"/>
    <w:rsid w:val="00FC2CC0"/>
    <w:rsid w:val="00FC38D3"/>
    <w:rsid w:val="00FD11FF"/>
    <w:rsid w:val="00FD23B7"/>
    <w:rsid w:val="00FD3DA7"/>
    <w:rsid w:val="00FD41BA"/>
    <w:rsid w:val="00FD6EDD"/>
    <w:rsid w:val="00FD7575"/>
    <w:rsid w:val="00FE29A7"/>
    <w:rsid w:val="00FF20C5"/>
    <w:rsid w:val="00FF3337"/>
    <w:rsid w:val="00FF5432"/>
    <w:rsid w:val="00FF5D0A"/>
    <w:rsid w:val="00FF6D82"/>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830F2"/>
  <w15:chartTrackingRefBased/>
  <w15:docId w15:val="{74158D92-9583-4273-8B1F-D0EEA486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E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2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2A4"/>
    <w:rPr>
      <w:rFonts w:ascii="Tahoma" w:hAnsi="Tahoma" w:cs="Tahoma"/>
      <w:sz w:val="16"/>
      <w:szCs w:val="16"/>
    </w:rPr>
  </w:style>
  <w:style w:type="paragraph" w:styleId="ListParagraph">
    <w:name w:val="List Paragraph"/>
    <w:basedOn w:val="Normal"/>
    <w:link w:val="ListParagraphChar"/>
    <w:uiPriority w:val="34"/>
    <w:qFormat/>
    <w:rsid w:val="00C20E92"/>
    <w:pPr>
      <w:ind w:left="720"/>
      <w:contextualSpacing/>
    </w:pPr>
  </w:style>
  <w:style w:type="paragraph" w:styleId="Header">
    <w:name w:val="header"/>
    <w:basedOn w:val="Normal"/>
    <w:link w:val="HeaderChar"/>
    <w:uiPriority w:val="99"/>
    <w:unhideWhenUsed/>
    <w:rsid w:val="0004055B"/>
    <w:pPr>
      <w:tabs>
        <w:tab w:val="center" w:pos="4513"/>
        <w:tab w:val="right" w:pos="9026"/>
      </w:tabs>
    </w:pPr>
  </w:style>
  <w:style w:type="character" w:customStyle="1" w:styleId="HeaderChar">
    <w:name w:val="Header Char"/>
    <w:link w:val="Header"/>
    <w:uiPriority w:val="99"/>
    <w:rsid w:val="0004055B"/>
    <w:rPr>
      <w:sz w:val="22"/>
      <w:szCs w:val="22"/>
      <w:lang w:eastAsia="en-US"/>
    </w:rPr>
  </w:style>
  <w:style w:type="paragraph" w:styleId="Footer">
    <w:name w:val="footer"/>
    <w:basedOn w:val="Normal"/>
    <w:link w:val="FooterChar"/>
    <w:uiPriority w:val="99"/>
    <w:unhideWhenUsed/>
    <w:rsid w:val="0004055B"/>
    <w:pPr>
      <w:tabs>
        <w:tab w:val="center" w:pos="4513"/>
        <w:tab w:val="right" w:pos="9026"/>
      </w:tabs>
    </w:pPr>
  </w:style>
  <w:style w:type="character" w:customStyle="1" w:styleId="FooterChar">
    <w:name w:val="Footer Char"/>
    <w:link w:val="Footer"/>
    <w:uiPriority w:val="99"/>
    <w:rsid w:val="0004055B"/>
    <w:rPr>
      <w:sz w:val="22"/>
      <w:szCs w:val="22"/>
      <w:lang w:eastAsia="en-US"/>
    </w:rPr>
  </w:style>
  <w:style w:type="character" w:customStyle="1" w:styleId="ListParagraphChar">
    <w:name w:val="List Paragraph Char"/>
    <w:link w:val="ListParagraph"/>
    <w:uiPriority w:val="34"/>
    <w:rsid w:val="00F64685"/>
    <w:rPr>
      <w:sz w:val="22"/>
      <w:szCs w:val="22"/>
      <w:lang w:eastAsia="en-US"/>
    </w:rPr>
  </w:style>
  <w:style w:type="character" w:styleId="CommentReference">
    <w:name w:val="annotation reference"/>
    <w:uiPriority w:val="99"/>
    <w:semiHidden/>
    <w:unhideWhenUsed/>
    <w:rsid w:val="0099748F"/>
    <w:rPr>
      <w:sz w:val="16"/>
      <w:szCs w:val="16"/>
    </w:rPr>
  </w:style>
  <w:style w:type="paragraph" w:styleId="CommentText">
    <w:name w:val="annotation text"/>
    <w:basedOn w:val="Normal"/>
    <w:link w:val="CommentTextChar"/>
    <w:uiPriority w:val="99"/>
    <w:semiHidden/>
    <w:unhideWhenUsed/>
    <w:rsid w:val="0099748F"/>
    <w:rPr>
      <w:sz w:val="20"/>
      <w:szCs w:val="20"/>
    </w:rPr>
  </w:style>
  <w:style w:type="character" w:customStyle="1" w:styleId="CommentTextChar">
    <w:name w:val="Comment Text Char"/>
    <w:link w:val="CommentText"/>
    <w:uiPriority w:val="99"/>
    <w:semiHidden/>
    <w:rsid w:val="0099748F"/>
    <w:rPr>
      <w:lang w:eastAsia="en-US"/>
    </w:rPr>
  </w:style>
  <w:style w:type="paragraph" w:styleId="CommentSubject">
    <w:name w:val="annotation subject"/>
    <w:basedOn w:val="CommentText"/>
    <w:next w:val="CommentText"/>
    <w:link w:val="CommentSubjectChar"/>
    <w:uiPriority w:val="99"/>
    <w:semiHidden/>
    <w:unhideWhenUsed/>
    <w:rsid w:val="0099748F"/>
    <w:rPr>
      <w:b/>
      <w:bCs/>
    </w:rPr>
  </w:style>
  <w:style w:type="character" w:customStyle="1" w:styleId="CommentSubjectChar">
    <w:name w:val="Comment Subject Char"/>
    <w:link w:val="CommentSubject"/>
    <w:uiPriority w:val="99"/>
    <w:semiHidden/>
    <w:rsid w:val="0099748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6A22-A96F-40AB-8EDB-9943FCF4BF3F}">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E6B7C7AC-658C-498A-ACF9-FB5A226C8843}">
  <ds:schemaRefs>
    <ds:schemaRef ds:uri="http://schemas.microsoft.com/sharepoint/v3/contenttype/forms"/>
  </ds:schemaRefs>
</ds:datastoreItem>
</file>

<file path=customXml/itemProps3.xml><?xml version="1.0" encoding="utf-8"?>
<ds:datastoreItem xmlns:ds="http://schemas.openxmlformats.org/officeDocument/2006/customXml" ds:itemID="{21A3F87A-4480-48B3-A632-2DDC08B4F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FEB93-2F44-46F4-83A6-E8877E60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7</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frw1</dc:creator>
  <cp:keywords/>
  <cp:lastModifiedBy>Moray Nichol</cp:lastModifiedBy>
  <cp:revision>27</cp:revision>
  <cp:lastPrinted>2018-06-11T16:08:00Z</cp:lastPrinted>
  <dcterms:created xsi:type="dcterms:W3CDTF">2019-06-18T08:08:00Z</dcterms:created>
  <dcterms:modified xsi:type="dcterms:W3CDTF">2022-12-19T18:22:00Z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