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BE8C" w14:textId="757FD766" w:rsidR="00A22186" w:rsidRDefault="009A3C89" w:rsidP="00511618">
      <w:pPr>
        <w:tabs>
          <w:tab w:val="right" w:pos="9072"/>
        </w:tabs>
        <w:spacing w:line="276" w:lineRule="auto"/>
        <w:jc w:val="right"/>
        <w:rPr>
          <w:rFonts w:ascii="Calibri" w:hAnsi="Calibri" w:cs="Calibri"/>
          <w:b/>
          <w:sz w:val="22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2"/>
        </w:rPr>
        <w:drawing>
          <wp:inline distT="0" distB="0" distL="0" distR="0" wp14:anchorId="7CA29549" wp14:editId="04460A15">
            <wp:extent cx="1786255" cy="510540"/>
            <wp:effectExtent l="0" t="0" r="0" b="0"/>
            <wp:docPr id="1" name="Picture 1" descr="UoS-LOGO-PMS-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FA31" w14:textId="0C86C986" w:rsidR="00CE6A1E" w:rsidRPr="00057DF1" w:rsidRDefault="00CE6A1E" w:rsidP="00511618">
      <w:pPr>
        <w:spacing w:line="276" w:lineRule="auto"/>
        <w:jc w:val="center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>ACADEMIC COUNCIL</w:t>
      </w:r>
    </w:p>
    <w:p w14:paraId="1F60E6B8" w14:textId="77777777" w:rsidR="00CE6A1E" w:rsidRPr="00057DF1" w:rsidRDefault="00CE6A1E" w:rsidP="00511618">
      <w:pPr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637FEE2B" w14:textId="0BE0D970" w:rsidR="00CE6A1E" w:rsidRPr="0048278D" w:rsidRDefault="00CE6A1E" w:rsidP="00511618">
      <w:pPr>
        <w:spacing w:line="276" w:lineRule="auto"/>
        <w:jc w:val="center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 xml:space="preserve">Minutes of meeting held on </w:t>
      </w:r>
      <w:r w:rsidR="00C244B9">
        <w:rPr>
          <w:rFonts w:ascii="Calibri" w:hAnsi="Calibri" w:cs="Calibri"/>
          <w:b/>
          <w:sz w:val="22"/>
        </w:rPr>
        <w:t>12</w:t>
      </w:r>
      <w:r w:rsidR="00325C8E">
        <w:rPr>
          <w:rFonts w:ascii="Calibri" w:hAnsi="Calibri" w:cs="Calibri"/>
          <w:b/>
          <w:sz w:val="22"/>
        </w:rPr>
        <w:t xml:space="preserve"> </w:t>
      </w:r>
      <w:r w:rsidR="00C244B9">
        <w:rPr>
          <w:rFonts w:ascii="Calibri" w:hAnsi="Calibri" w:cs="Calibri"/>
          <w:b/>
          <w:sz w:val="22"/>
        </w:rPr>
        <w:t>September</w:t>
      </w:r>
      <w:r w:rsidR="0048278D" w:rsidRPr="0048278D">
        <w:rPr>
          <w:rFonts w:ascii="Calibri" w:hAnsi="Calibri" w:cs="Calibri"/>
          <w:b/>
          <w:sz w:val="22"/>
        </w:rPr>
        <w:t xml:space="preserve"> 2018</w:t>
      </w:r>
    </w:p>
    <w:p w14:paraId="3DE0DE58" w14:textId="77777777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</w:p>
    <w:p w14:paraId="76BEBBB8" w14:textId="18E69822" w:rsidR="00CE6A1E" w:rsidRPr="00057DF1" w:rsidRDefault="00CE6A1E" w:rsidP="00511618">
      <w:pPr>
        <w:tabs>
          <w:tab w:val="left" w:pos="1701"/>
        </w:tabs>
        <w:spacing w:line="276" w:lineRule="auto"/>
        <w:ind w:left="1701" w:hanging="1701"/>
        <w:jc w:val="both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>Present:</w:t>
      </w:r>
      <w:r w:rsidR="00005D43">
        <w:rPr>
          <w:rFonts w:ascii="Calibri" w:hAnsi="Calibri" w:cs="Calibri"/>
          <w:sz w:val="22"/>
        </w:rPr>
        <w:t xml:space="preserve"> </w:t>
      </w:r>
      <w:r w:rsidR="00005D43">
        <w:rPr>
          <w:rFonts w:ascii="Calibri" w:hAnsi="Calibri" w:cs="Calibri"/>
          <w:sz w:val="22"/>
        </w:rPr>
        <w:tab/>
        <w:t>Professor G McCormac (Chair),</w:t>
      </w:r>
      <w:r w:rsidR="00C244B9" w:rsidRPr="00C244B9">
        <w:rPr>
          <w:rFonts w:ascii="Calibri" w:hAnsi="Calibri" w:cs="Calibri"/>
          <w:sz w:val="22"/>
        </w:rPr>
        <w:t xml:space="preserve"> </w:t>
      </w:r>
      <w:r w:rsidR="00C244B9">
        <w:rPr>
          <w:rFonts w:ascii="Calibri" w:hAnsi="Calibri" w:cs="Calibri"/>
          <w:sz w:val="22"/>
        </w:rPr>
        <w:t xml:space="preserve"> </w:t>
      </w:r>
      <w:r w:rsidR="00C244B9" w:rsidRPr="00057DF1">
        <w:rPr>
          <w:rFonts w:ascii="Calibri" w:hAnsi="Calibri" w:cs="Calibri"/>
          <w:sz w:val="22"/>
        </w:rPr>
        <w:t xml:space="preserve">Professor A Bowes, </w:t>
      </w:r>
      <w:r w:rsidR="007F692F" w:rsidRPr="00057DF1">
        <w:rPr>
          <w:rFonts w:ascii="Calibri" w:hAnsi="Calibri" w:cs="Calibri"/>
          <w:sz w:val="22"/>
        </w:rPr>
        <w:t xml:space="preserve"> </w:t>
      </w:r>
      <w:r w:rsidR="00A43EFA">
        <w:rPr>
          <w:rFonts w:ascii="Calibri" w:hAnsi="Calibri" w:cs="Calibri"/>
          <w:sz w:val="22"/>
        </w:rPr>
        <w:t xml:space="preserve">Prof C </w:t>
      </w:r>
      <w:r w:rsidR="00C244B9">
        <w:rPr>
          <w:rFonts w:ascii="Calibri" w:hAnsi="Calibri" w:cs="Calibri"/>
          <w:sz w:val="22"/>
        </w:rPr>
        <w:t>Caldwell</w:t>
      </w:r>
      <w:r w:rsidR="00A43EFA">
        <w:rPr>
          <w:rFonts w:ascii="Calibri" w:hAnsi="Calibri" w:cs="Calibri"/>
          <w:sz w:val="22"/>
        </w:rPr>
        <w:t xml:space="preserve">, </w:t>
      </w:r>
      <w:r w:rsidRPr="00057DF1">
        <w:rPr>
          <w:rFonts w:ascii="Calibri" w:hAnsi="Calibri" w:cs="Calibri"/>
          <w:sz w:val="22"/>
        </w:rPr>
        <w:t>,</w:t>
      </w:r>
      <w:r w:rsidR="0048278D" w:rsidRPr="0048278D">
        <w:rPr>
          <w:rFonts w:ascii="Calibri" w:hAnsi="Calibri" w:cs="Calibri"/>
          <w:sz w:val="22"/>
        </w:rPr>
        <w:t xml:space="preserve"> </w:t>
      </w:r>
      <w:r w:rsidR="00FE4598" w:rsidRPr="00057DF1">
        <w:rPr>
          <w:rFonts w:ascii="Calibri" w:hAnsi="Calibri" w:cs="Calibri"/>
          <w:sz w:val="22"/>
        </w:rPr>
        <w:t>Professor J Donaldson,</w:t>
      </w:r>
      <w:r w:rsidRPr="00057DF1">
        <w:rPr>
          <w:rFonts w:ascii="Calibri" w:hAnsi="Calibri" w:cs="Calibri"/>
          <w:sz w:val="22"/>
        </w:rPr>
        <w:t xml:space="preserve"> </w:t>
      </w:r>
      <w:r w:rsidR="00FE710B" w:rsidRPr="00057DF1">
        <w:rPr>
          <w:rFonts w:ascii="Calibri" w:hAnsi="Calibri" w:cs="Calibri"/>
          <w:sz w:val="22"/>
        </w:rPr>
        <w:t xml:space="preserve">Professor A Green, </w:t>
      </w:r>
      <w:r w:rsidRPr="00057DF1">
        <w:rPr>
          <w:rFonts w:ascii="Calibri" w:hAnsi="Calibri" w:cs="Calibri"/>
          <w:sz w:val="22"/>
        </w:rPr>
        <w:t xml:space="preserve">Professor M MacLeod, </w:t>
      </w:r>
      <w:r w:rsidR="00C244B9">
        <w:rPr>
          <w:rFonts w:ascii="Calibri" w:hAnsi="Calibri" w:cs="Calibri"/>
          <w:sz w:val="22"/>
        </w:rPr>
        <w:t xml:space="preserve">Professor H Migaud, </w:t>
      </w:r>
      <w:r w:rsidRPr="00057DF1">
        <w:rPr>
          <w:rFonts w:ascii="Calibri" w:hAnsi="Calibri" w:cs="Calibri"/>
          <w:sz w:val="22"/>
        </w:rPr>
        <w:t xml:space="preserve">Professor R Oram, </w:t>
      </w:r>
      <w:r w:rsidR="00005D43" w:rsidRPr="00057DF1">
        <w:rPr>
          <w:rFonts w:ascii="Calibri" w:hAnsi="Calibri" w:cs="Calibri"/>
          <w:sz w:val="22"/>
        </w:rPr>
        <w:t>Ms A Smallenbroek</w:t>
      </w:r>
      <w:r w:rsidR="00005D43">
        <w:rPr>
          <w:rFonts w:ascii="Calibri" w:hAnsi="Calibri" w:cs="Calibri"/>
          <w:sz w:val="22"/>
        </w:rPr>
        <w:t>,</w:t>
      </w:r>
      <w:r w:rsidR="00005D43" w:rsidRPr="00057DF1">
        <w:rPr>
          <w:rFonts w:ascii="Calibri" w:hAnsi="Calibri" w:cs="Calibri"/>
          <w:sz w:val="22"/>
        </w:rPr>
        <w:t xml:space="preserve"> </w:t>
      </w:r>
      <w:r w:rsidR="00C244B9" w:rsidRPr="00057DF1">
        <w:rPr>
          <w:rFonts w:ascii="Calibri" w:hAnsi="Calibri" w:cs="Calibri"/>
          <w:sz w:val="22"/>
        </w:rPr>
        <w:t>Professor L Sparks</w:t>
      </w:r>
      <w:r w:rsidR="00C244B9">
        <w:rPr>
          <w:rFonts w:ascii="Calibri" w:hAnsi="Calibri" w:cs="Calibri"/>
          <w:sz w:val="22"/>
        </w:rPr>
        <w:t xml:space="preserve">, </w:t>
      </w:r>
      <w:r w:rsidR="00C244B9" w:rsidRPr="00057DF1">
        <w:rPr>
          <w:rFonts w:ascii="Calibri" w:hAnsi="Calibri" w:cs="Calibri"/>
          <w:sz w:val="22"/>
        </w:rPr>
        <w:t>Professor T Whalley</w:t>
      </w:r>
      <w:r w:rsidR="00C244B9">
        <w:rPr>
          <w:rFonts w:ascii="Calibri" w:hAnsi="Calibri" w:cs="Calibri"/>
          <w:sz w:val="22"/>
        </w:rPr>
        <w:t>,</w:t>
      </w:r>
      <w:r w:rsidR="00C244B9" w:rsidRPr="00057DF1">
        <w:rPr>
          <w:rFonts w:ascii="Calibri" w:hAnsi="Calibri" w:cs="Calibri"/>
          <w:sz w:val="22"/>
        </w:rPr>
        <w:t xml:space="preserve"> </w:t>
      </w:r>
      <w:r w:rsidR="00C244B9">
        <w:rPr>
          <w:rFonts w:ascii="Calibri" w:hAnsi="Calibri" w:cs="Calibri"/>
          <w:sz w:val="22"/>
        </w:rPr>
        <w:t>Mr D Wright</w:t>
      </w:r>
    </w:p>
    <w:p w14:paraId="0E347550" w14:textId="77777777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</w:p>
    <w:p w14:paraId="0D852E18" w14:textId="1166603B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 xml:space="preserve">In Attendance:  </w:t>
      </w:r>
      <w:r w:rsidR="00FE710B" w:rsidRPr="00057DF1">
        <w:rPr>
          <w:rFonts w:ascii="Calibri" w:hAnsi="Calibri" w:cs="Calibri"/>
          <w:b/>
          <w:sz w:val="22"/>
        </w:rPr>
        <w:t xml:space="preserve">     </w:t>
      </w:r>
      <w:r w:rsidRPr="00057DF1">
        <w:rPr>
          <w:rFonts w:ascii="Calibri" w:hAnsi="Calibri" w:cs="Calibri"/>
          <w:sz w:val="22"/>
        </w:rPr>
        <w:t xml:space="preserve">Ms E Hensens (Secretary), </w:t>
      </w:r>
      <w:r w:rsidR="00005D43">
        <w:rPr>
          <w:rFonts w:ascii="Calibri" w:hAnsi="Calibri" w:cs="Calibri"/>
          <w:sz w:val="22"/>
        </w:rPr>
        <w:t xml:space="preserve">Ms J Morrow, Ms E </w:t>
      </w:r>
      <w:r w:rsidRPr="00057DF1">
        <w:rPr>
          <w:rFonts w:ascii="Calibri" w:hAnsi="Calibri" w:cs="Calibri"/>
          <w:sz w:val="22"/>
        </w:rPr>
        <w:t>Schofield</w:t>
      </w:r>
    </w:p>
    <w:p w14:paraId="494612C1" w14:textId="77777777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</w:p>
    <w:p w14:paraId="204A4D42" w14:textId="2C220F46" w:rsidR="00CE6A1E" w:rsidRDefault="00CE6A1E" w:rsidP="00511618">
      <w:pPr>
        <w:spacing w:line="276" w:lineRule="auto"/>
        <w:ind w:left="1701" w:hanging="1701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>Apologies:</w:t>
      </w:r>
      <w:r w:rsidRPr="00057DF1">
        <w:rPr>
          <w:rFonts w:ascii="Calibri" w:hAnsi="Calibri" w:cs="Calibri"/>
          <w:sz w:val="22"/>
        </w:rPr>
        <w:t xml:space="preserve"> </w:t>
      </w:r>
      <w:r w:rsidRPr="00057DF1">
        <w:rPr>
          <w:rFonts w:ascii="Calibri" w:hAnsi="Calibri" w:cs="Calibri"/>
          <w:sz w:val="22"/>
        </w:rPr>
        <w:tab/>
      </w:r>
      <w:r w:rsidR="00C244B9" w:rsidRPr="00057DF1">
        <w:rPr>
          <w:rFonts w:ascii="Calibri" w:hAnsi="Calibri" w:cs="Calibri"/>
          <w:sz w:val="22"/>
        </w:rPr>
        <w:t>Ms I Beveridge, Prof M Cusack</w:t>
      </w:r>
      <w:r w:rsidR="00C244B9">
        <w:rPr>
          <w:rFonts w:ascii="Calibri" w:hAnsi="Calibri" w:cs="Calibri"/>
          <w:sz w:val="22"/>
        </w:rPr>
        <w:t xml:space="preserve">, </w:t>
      </w:r>
      <w:r w:rsidR="00FE4598" w:rsidRPr="00057DF1">
        <w:rPr>
          <w:rFonts w:ascii="Calibri" w:hAnsi="Calibri" w:cs="Calibri"/>
          <w:sz w:val="22"/>
        </w:rPr>
        <w:t xml:space="preserve">Professor L Bauld, </w:t>
      </w:r>
      <w:r w:rsidR="00C244B9" w:rsidRPr="00057DF1">
        <w:rPr>
          <w:rFonts w:ascii="Calibri" w:hAnsi="Calibri" w:cs="Calibri"/>
          <w:sz w:val="22"/>
        </w:rPr>
        <w:t>Dr A Desbois,</w:t>
      </w:r>
      <w:r w:rsidR="00005D43">
        <w:rPr>
          <w:rFonts w:ascii="Calibri" w:hAnsi="Calibri" w:cs="Calibri"/>
          <w:sz w:val="22"/>
        </w:rPr>
        <w:t xml:space="preserve"> </w:t>
      </w:r>
      <w:r w:rsidR="00C244B9">
        <w:rPr>
          <w:rFonts w:ascii="Calibri" w:hAnsi="Calibri" w:cs="Calibri"/>
          <w:sz w:val="22"/>
        </w:rPr>
        <w:t>Professor H Nehring, Professor J Phillips</w:t>
      </w:r>
      <w:r w:rsidR="00C244B9" w:rsidRPr="00057DF1">
        <w:rPr>
          <w:rFonts w:ascii="Calibri" w:hAnsi="Calibri" w:cs="Calibri"/>
          <w:sz w:val="22"/>
        </w:rPr>
        <w:t>,</w:t>
      </w:r>
      <w:r w:rsidR="00B673B5">
        <w:rPr>
          <w:rFonts w:ascii="Calibri" w:hAnsi="Calibri" w:cs="Calibri"/>
          <w:sz w:val="22"/>
        </w:rPr>
        <w:t xml:space="preserve"> Professor M Priestley</w:t>
      </w:r>
    </w:p>
    <w:p w14:paraId="31B0C0E7" w14:textId="77777777" w:rsidR="00B673B5" w:rsidRPr="00005D43" w:rsidRDefault="00B673B5" w:rsidP="00511618">
      <w:pPr>
        <w:spacing w:line="276" w:lineRule="auto"/>
        <w:ind w:left="1701" w:hanging="1701"/>
        <w:rPr>
          <w:rFonts w:ascii="Calibri" w:hAnsi="Calibri" w:cs="Calibri"/>
          <w:sz w:val="22"/>
        </w:rPr>
      </w:pPr>
    </w:p>
    <w:p w14:paraId="2B36809A" w14:textId="44774C48" w:rsidR="00A22186" w:rsidRPr="00057DF1" w:rsidRDefault="00A22186" w:rsidP="005116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1"/>
        <w:gridCol w:w="5934"/>
        <w:gridCol w:w="590"/>
        <w:gridCol w:w="100"/>
        <w:gridCol w:w="21"/>
        <w:gridCol w:w="42"/>
        <w:gridCol w:w="1608"/>
      </w:tblGrid>
      <w:tr w:rsidR="00C244B9" w:rsidRPr="00135332" w14:paraId="76E96941" w14:textId="77777777" w:rsidTr="00511618">
        <w:tc>
          <w:tcPr>
            <w:tcW w:w="721" w:type="dxa"/>
          </w:tcPr>
          <w:p w14:paraId="12AE3F61" w14:textId="55544AFD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934" w:type="dxa"/>
          </w:tcPr>
          <w:p w14:paraId="41C233CC" w14:textId="53D5B1B3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REMIT AND MEMBERSHIP</w:t>
            </w:r>
          </w:p>
        </w:tc>
        <w:tc>
          <w:tcPr>
            <w:tcW w:w="2361" w:type="dxa"/>
            <w:gridSpan w:val="5"/>
          </w:tcPr>
          <w:p w14:paraId="5249DE7E" w14:textId="732FC6A0" w:rsidR="00C244B9" w:rsidRPr="00135332" w:rsidRDefault="00C244B9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1</w:t>
            </w:r>
          </w:p>
        </w:tc>
      </w:tr>
      <w:tr w:rsidR="00C244B9" w:rsidRPr="00135332" w14:paraId="56CA3D72" w14:textId="77777777" w:rsidTr="00511618">
        <w:tc>
          <w:tcPr>
            <w:tcW w:w="721" w:type="dxa"/>
          </w:tcPr>
          <w:p w14:paraId="1EF6224F" w14:textId="77777777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</w:tcPr>
          <w:p w14:paraId="44D9F44D" w14:textId="77777777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The current remit and membership of Council was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noted.</w:t>
            </w:r>
          </w:p>
          <w:p w14:paraId="787DF886" w14:textId="77777777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E106A48" w14:textId="7E8E6A1F" w:rsidR="00C244B9" w:rsidRPr="00135332" w:rsidRDefault="0051161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The membership of Council had</w:t>
            </w:r>
            <w:r w:rsidR="00C244B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been updated in light of the HE Governance (Scotland) Act and the membership changes approved by Academic Council last year. The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appointment of new members would</w:t>
            </w:r>
            <w:r w:rsidR="00C244B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follow the approval of the appointments process by Court at a future meeting.</w:t>
            </w:r>
          </w:p>
        </w:tc>
      </w:tr>
      <w:tr w:rsidR="00C244B9" w:rsidRPr="00135332" w14:paraId="47810890" w14:textId="77777777" w:rsidTr="00511618">
        <w:tc>
          <w:tcPr>
            <w:tcW w:w="721" w:type="dxa"/>
          </w:tcPr>
          <w:p w14:paraId="40E92DA8" w14:textId="77777777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4C896650" w14:textId="77777777" w:rsidR="00C244B9" w:rsidRPr="00135332" w:rsidRDefault="00C244B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5"/>
          </w:tcPr>
          <w:p w14:paraId="4E26F490" w14:textId="77777777" w:rsidR="00C244B9" w:rsidRPr="00135332" w:rsidRDefault="00C244B9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42" w:rsidRPr="00135332" w14:paraId="1AB6680A" w14:textId="77777777" w:rsidTr="00511618">
        <w:tc>
          <w:tcPr>
            <w:tcW w:w="721" w:type="dxa"/>
          </w:tcPr>
          <w:p w14:paraId="56B625DB" w14:textId="3663B90A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934" w:type="dxa"/>
          </w:tcPr>
          <w:p w14:paraId="24D73713" w14:textId="1FFB2701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STANDING ORDERS</w:t>
            </w:r>
          </w:p>
        </w:tc>
        <w:tc>
          <w:tcPr>
            <w:tcW w:w="2361" w:type="dxa"/>
            <w:gridSpan w:val="5"/>
          </w:tcPr>
          <w:p w14:paraId="6F6898AF" w14:textId="644BFA87" w:rsidR="00597542" w:rsidRPr="00135332" w:rsidRDefault="00597542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2</w:t>
            </w:r>
          </w:p>
        </w:tc>
      </w:tr>
      <w:tr w:rsidR="00597542" w:rsidRPr="00135332" w14:paraId="44F2735E" w14:textId="77777777" w:rsidTr="00511618">
        <w:tc>
          <w:tcPr>
            <w:tcW w:w="721" w:type="dxa"/>
          </w:tcPr>
          <w:p w14:paraId="5A4E8308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1105BECC" w14:textId="3F5954C3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Academic Council’s Standing Orders was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61" w:type="dxa"/>
            <w:gridSpan w:val="5"/>
          </w:tcPr>
          <w:p w14:paraId="24755960" w14:textId="77777777" w:rsidR="00597542" w:rsidRPr="00135332" w:rsidRDefault="00597542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42" w:rsidRPr="00135332" w14:paraId="4D0FB9B4" w14:textId="77777777" w:rsidTr="00511618">
        <w:tc>
          <w:tcPr>
            <w:tcW w:w="721" w:type="dxa"/>
          </w:tcPr>
          <w:p w14:paraId="514AFBBA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44A7E616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1" w:type="dxa"/>
            <w:gridSpan w:val="5"/>
          </w:tcPr>
          <w:p w14:paraId="7832B9D3" w14:textId="77777777" w:rsidR="00597542" w:rsidRPr="00135332" w:rsidRDefault="00597542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42" w:rsidRPr="00135332" w14:paraId="7255C143" w14:textId="77777777" w:rsidTr="00511618">
        <w:tc>
          <w:tcPr>
            <w:tcW w:w="721" w:type="dxa"/>
          </w:tcPr>
          <w:p w14:paraId="76599363" w14:textId="340BD71A" w:rsidR="00597542" w:rsidRPr="00135332" w:rsidRDefault="001E49A3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34" w:type="dxa"/>
          </w:tcPr>
          <w:p w14:paraId="65782410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MINUTES OF THE PREVIOUS MEETING</w:t>
            </w:r>
          </w:p>
        </w:tc>
        <w:tc>
          <w:tcPr>
            <w:tcW w:w="2361" w:type="dxa"/>
            <w:gridSpan w:val="5"/>
          </w:tcPr>
          <w:p w14:paraId="4D0C779E" w14:textId="747928D0" w:rsidR="00597542" w:rsidRPr="00135332" w:rsidRDefault="00597542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(17/18) Minutes 4</w:t>
            </w:r>
          </w:p>
        </w:tc>
      </w:tr>
      <w:tr w:rsidR="00597542" w:rsidRPr="00135332" w14:paraId="09F67DE6" w14:textId="77777777" w:rsidTr="00511618">
        <w:tc>
          <w:tcPr>
            <w:tcW w:w="721" w:type="dxa"/>
          </w:tcPr>
          <w:p w14:paraId="5EE41183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</w:tcPr>
          <w:p w14:paraId="2FB9E798" w14:textId="15E84CB3" w:rsidR="00597542" w:rsidRPr="00135332" w:rsidRDefault="00597542" w:rsidP="00511618">
            <w:pPr>
              <w:spacing w:line="276" w:lineRule="auto"/>
              <w:ind w:left="60" w:hanging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The minutes of the meeting held on 6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June 2018 were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approved</w:t>
            </w: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597542" w:rsidRPr="00135332" w14:paraId="0197AF35" w14:textId="77777777" w:rsidTr="00511618">
        <w:tc>
          <w:tcPr>
            <w:tcW w:w="721" w:type="dxa"/>
          </w:tcPr>
          <w:p w14:paraId="5048A590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0E046A52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5"/>
          </w:tcPr>
          <w:p w14:paraId="5A6F7992" w14:textId="77777777" w:rsidR="00597542" w:rsidRPr="00135332" w:rsidRDefault="00597542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42" w:rsidRPr="00135332" w14:paraId="3FA01641" w14:textId="77777777" w:rsidTr="00511618">
        <w:tc>
          <w:tcPr>
            <w:tcW w:w="721" w:type="dxa"/>
          </w:tcPr>
          <w:p w14:paraId="33293D93" w14:textId="4629B4A0" w:rsidR="00597542" w:rsidRPr="00135332" w:rsidRDefault="001E49A3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34" w:type="dxa"/>
          </w:tcPr>
          <w:p w14:paraId="502C0885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MATTERS ARISING NOT OTHERWISE ON THE AGENDA</w:t>
            </w:r>
          </w:p>
        </w:tc>
        <w:tc>
          <w:tcPr>
            <w:tcW w:w="2361" w:type="dxa"/>
            <w:gridSpan w:val="5"/>
          </w:tcPr>
          <w:p w14:paraId="444FACAC" w14:textId="77777777" w:rsidR="00597542" w:rsidRPr="00135332" w:rsidRDefault="00597542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542" w:rsidRPr="00135332" w14:paraId="5BB240CC" w14:textId="77777777" w:rsidTr="00511618">
        <w:tc>
          <w:tcPr>
            <w:tcW w:w="721" w:type="dxa"/>
          </w:tcPr>
          <w:p w14:paraId="7B82984C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5C198FE6" w14:textId="77777777" w:rsidR="00597542" w:rsidRPr="00135332" w:rsidRDefault="00597542" w:rsidP="005116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there were no matters arising that were not covered elsewhere on the agenda.</w:t>
            </w:r>
          </w:p>
        </w:tc>
      </w:tr>
      <w:tr w:rsidR="00597542" w:rsidRPr="00135332" w14:paraId="2F5A6672" w14:textId="77777777" w:rsidTr="00511618">
        <w:tc>
          <w:tcPr>
            <w:tcW w:w="721" w:type="dxa"/>
          </w:tcPr>
          <w:p w14:paraId="606CAE92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4471F66C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5"/>
          </w:tcPr>
          <w:p w14:paraId="63076FD7" w14:textId="77777777" w:rsidR="00597542" w:rsidRPr="00135332" w:rsidRDefault="00597542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42" w:rsidRPr="00135332" w14:paraId="738EE9A5" w14:textId="77777777" w:rsidTr="00511618">
        <w:tc>
          <w:tcPr>
            <w:tcW w:w="721" w:type="dxa"/>
          </w:tcPr>
          <w:p w14:paraId="3A18E700" w14:textId="5EE94AD6" w:rsidR="00597542" w:rsidRPr="00135332" w:rsidRDefault="001E49A3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34" w:type="dxa"/>
          </w:tcPr>
          <w:p w14:paraId="6862BEB1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STATEMENTS BY THE CHAIR</w:t>
            </w:r>
          </w:p>
        </w:tc>
        <w:tc>
          <w:tcPr>
            <w:tcW w:w="2361" w:type="dxa"/>
            <w:gridSpan w:val="5"/>
            <w:vAlign w:val="center"/>
          </w:tcPr>
          <w:p w14:paraId="2F3A8862" w14:textId="77777777" w:rsidR="00597542" w:rsidRPr="00135332" w:rsidRDefault="00597542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(17/18) 24</w:t>
            </w:r>
          </w:p>
        </w:tc>
      </w:tr>
      <w:tr w:rsidR="00597542" w:rsidRPr="00135332" w14:paraId="63BFC5D4" w14:textId="77777777" w:rsidTr="00511618">
        <w:tc>
          <w:tcPr>
            <w:tcW w:w="721" w:type="dxa"/>
          </w:tcPr>
          <w:p w14:paraId="2501385C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2CFDF047" w14:textId="77777777" w:rsidR="00E36C1F" w:rsidRDefault="00E36C1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2731CB" w14:textId="55E428CC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Senior Management Appointments</w:t>
            </w:r>
          </w:p>
          <w:p w14:paraId="67164B68" w14:textId="01450091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The Chair confirmed that a number of appointments </w:t>
            </w:r>
            <w:r w:rsidR="00913292" w:rsidRPr="00135332">
              <w:rPr>
                <w:rFonts w:asciiTheme="minorHAnsi" w:hAnsiTheme="minorHAnsi" w:cstheme="minorHAnsi"/>
                <w:sz w:val="22"/>
                <w:szCs w:val="22"/>
              </w:rPr>
              <w:t>had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been made to complete the senior management team, including 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Deputy Principal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Internationalisation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Professor Neville Wylie, 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Director of Information Services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>, M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r David Telford and 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Director of International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>isation and Partnerships, Dr Lee Zh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uang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03937A" w14:textId="36E8EF13" w:rsidR="00913292" w:rsidRPr="00135332" w:rsidRDefault="0091329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884FF" w14:textId="6CF0986A" w:rsidR="001E49A3" w:rsidRDefault="001E49A3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413F7" w14:textId="4E4ED581" w:rsidR="00E36C1F" w:rsidRDefault="00E36C1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BE8C1" w14:textId="0BD32B0C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Sport Centre Transformation</w:t>
            </w:r>
          </w:p>
          <w:p w14:paraId="217D0AF5" w14:textId="4F336516" w:rsidR="00597542" w:rsidRPr="00135332" w:rsidRDefault="0091329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Following the update to Council at the last meeting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597542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he Chair confirmed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that preliminary work had begun on the demolition of the</w:t>
            </w:r>
            <w:r w:rsidR="00511618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11618" w:rsidRPr="00135332">
              <w:rPr>
                <w:rFonts w:asciiTheme="minorHAnsi" w:hAnsiTheme="minorHAnsi" w:cstheme="minorHAnsi"/>
                <w:sz w:val="22"/>
                <w:szCs w:val="22"/>
              </w:rPr>
              <w:t>Gannochy</w:t>
            </w:r>
            <w:proofErr w:type="spellEnd"/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building.</w:t>
            </w:r>
          </w:p>
          <w:p w14:paraId="551A207C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D19D3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Campus Central </w:t>
            </w:r>
          </w:p>
          <w:p w14:paraId="616DBE38" w14:textId="7E9E63FB" w:rsidR="00913292" w:rsidRPr="00135332" w:rsidRDefault="0091329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A contractor had been appointed and planning work begun to ensure that the phasing of this significant project 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>mitigated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disruption to activities throughout the period</w:t>
            </w:r>
            <w:r w:rsidR="00E36C1F">
              <w:rPr>
                <w:rFonts w:asciiTheme="minorHAnsi" w:hAnsiTheme="minorHAnsi" w:cstheme="minorHAnsi"/>
                <w:sz w:val="22"/>
                <w:szCs w:val="22"/>
              </w:rPr>
              <w:t xml:space="preserve"> of work. The new University bus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hub would open on the 24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September with the</w:t>
            </w:r>
            <w:r w:rsidR="00D7371E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vehicular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access through Queens Court closing a week later.</w:t>
            </w:r>
          </w:p>
          <w:p w14:paraId="57683824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E9BA3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City Deal</w:t>
            </w:r>
          </w:p>
          <w:p w14:paraId="00E59EE6" w14:textId="3D6E621B" w:rsidR="00597542" w:rsidRPr="00135332" w:rsidRDefault="00D7371E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Following agreement of the h</w:t>
            </w:r>
            <w:r w:rsidR="00511618" w:rsidRPr="00135332">
              <w:rPr>
                <w:rFonts w:asciiTheme="minorHAnsi" w:hAnsiTheme="minorHAnsi" w:cstheme="minorHAnsi"/>
                <w:sz w:val="22"/>
                <w:szCs w:val="22"/>
              </w:rPr>
              <w:t>eads of terms work had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continued to 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the business cases for all three projects funded through the City Deal scheme. Both the external and internal governance </w:t>
            </w:r>
            <w:r w:rsidR="00511618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arrangements 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>were being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1618" w:rsidRPr="00135332">
              <w:rPr>
                <w:rFonts w:asciiTheme="minorHAnsi" w:hAnsiTheme="minorHAnsi" w:cstheme="minorHAnsi"/>
                <w:sz w:val="22"/>
                <w:szCs w:val="22"/>
              </w:rPr>
              <w:t>developed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ensuring appropriate oversight and reporting within the University, and to the involved Councils, Scottish and UK Governments.</w:t>
            </w:r>
          </w:p>
          <w:p w14:paraId="119FE1EB" w14:textId="3DAABBB4" w:rsidR="00D7371E" w:rsidRPr="00135332" w:rsidRDefault="00D7371E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FBF3B" w14:textId="299C10E5" w:rsidR="00D7371E" w:rsidRPr="00135332" w:rsidRDefault="00D7371E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A further potential opportunity had been identified through the A</w:t>
            </w:r>
            <w:r w:rsidR="00511618" w:rsidRPr="00135332">
              <w:rPr>
                <w:rFonts w:asciiTheme="minorHAnsi" w:hAnsiTheme="minorHAnsi" w:cstheme="minorHAnsi"/>
                <w:sz w:val="22"/>
                <w:szCs w:val="22"/>
              </w:rPr>
              <w:t>rgyll and Bute Regional Deal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ADE107" w14:textId="399E97D8" w:rsidR="00D7371E" w:rsidRPr="00135332" w:rsidRDefault="00D7371E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B1D4D" w14:textId="57C4BF21" w:rsidR="00597542" w:rsidRPr="00135332" w:rsidRDefault="00D7371E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The Chair reiterated his thanks to all those involved in the process so far and noted the significant progress towards the achievement of the research related strategic goals </w:t>
            </w:r>
            <w:r w:rsidR="00864891" w:rsidRPr="00135332">
              <w:rPr>
                <w:rFonts w:asciiTheme="minorHAnsi" w:hAnsiTheme="minorHAnsi" w:cstheme="minorHAnsi"/>
                <w:sz w:val="22"/>
                <w:szCs w:val="22"/>
              </w:rPr>
              <w:t>as a result.</w:t>
            </w:r>
          </w:p>
        </w:tc>
      </w:tr>
      <w:tr w:rsidR="00597542" w:rsidRPr="00135332" w14:paraId="558A1624" w14:textId="77777777" w:rsidTr="00511618">
        <w:tc>
          <w:tcPr>
            <w:tcW w:w="721" w:type="dxa"/>
          </w:tcPr>
          <w:p w14:paraId="4F154484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7DF25A96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542" w:rsidRPr="00135332" w14:paraId="68D9D05B" w14:textId="77777777" w:rsidTr="00511618">
        <w:tc>
          <w:tcPr>
            <w:tcW w:w="721" w:type="dxa"/>
          </w:tcPr>
          <w:p w14:paraId="2D80416A" w14:textId="23427095" w:rsidR="00597542" w:rsidRPr="00135332" w:rsidRDefault="001E49A3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  <w:gridSpan w:val="2"/>
            <w:vAlign w:val="center"/>
          </w:tcPr>
          <w:p w14:paraId="2C5A4D49" w14:textId="1F37DEA4" w:rsidR="00597542" w:rsidRPr="00135332" w:rsidRDefault="00864891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student surveys</w:t>
            </w:r>
          </w:p>
        </w:tc>
        <w:tc>
          <w:tcPr>
            <w:tcW w:w="1771" w:type="dxa"/>
            <w:gridSpan w:val="4"/>
          </w:tcPr>
          <w:p w14:paraId="1F53B1D4" w14:textId="406BD918" w:rsidR="00597542" w:rsidRPr="00135332" w:rsidRDefault="00864891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4</w:t>
            </w:r>
          </w:p>
        </w:tc>
      </w:tr>
      <w:tr w:rsidR="00597542" w:rsidRPr="00135332" w14:paraId="261F6423" w14:textId="77777777" w:rsidTr="00511618">
        <w:tc>
          <w:tcPr>
            <w:tcW w:w="721" w:type="dxa"/>
          </w:tcPr>
          <w:p w14:paraId="071B11B2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34829CF3" w14:textId="0796A6FF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an update on </w:t>
            </w:r>
            <w:r w:rsidR="00864891" w:rsidRPr="00135332">
              <w:rPr>
                <w:rFonts w:asciiTheme="minorHAnsi" w:hAnsiTheme="minorHAnsi" w:cstheme="minorHAnsi"/>
                <w:sz w:val="22"/>
                <w:szCs w:val="22"/>
              </w:rPr>
              <w:t>the outcomes of the 2018 National Student Survey (NSS), Postgraduate Taught Survey (PTES) and Postgraduate Research Survey (PRES) along with the internal Stirling Experience Survey (SES)</w:t>
            </w:r>
            <w:r w:rsidR="001353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CBF477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9391E" w14:textId="60686A35" w:rsidR="000C6A04" w:rsidRPr="00135332" w:rsidRDefault="000C6A04" w:rsidP="0051161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35332">
              <w:rPr>
                <w:rFonts w:asciiTheme="minorHAnsi" w:hAnsiTheme="minorHAnsi" w:cstheme="minorHAnsi"/>
              </w:rPr>
              <w:t xml:space="preserve">Council </w:t>
            </w:r>
            <w:r w:rsidRPr="00E07F9F">
              <w:rPr>
                <w:rFonts w:asciiTheme="minorHAnsi" w:hAnsiTheme="minorHAnsi" w:cstheme="minorHAnsi"/>
                <w:u w:val="single"/>
              </w:rPr>
              <w:t>noted</w:t>
            </w:r>
            <w:r w:rsidRPr="00135332">
              <w:rPr>
                <w:rFonts w:asciiTheme="minorHAnsi" w:hAnsiTheme="minorHAnsi" w:cstheme="minorHAnsi"/>
              </w:rPr>
              <w:t xml:space="preserve"> that the 2018 survey activity was conducted during a period of strike action, which may have impacted both response rates and the outcomes of the surveys</w:t>
            </w:r>
            <w:r w:rsidR="00E07F9F">
              <w:rPr>
                <w:rFonts w:asciiTheme="minorHAnsi" w:hAnsiTheme="minorHAnsi" w:cstheme="minorHAnsi"/>
              </w:rPr>
              <w:t>.</w:t>
            </w:r>
            <w:r w:rsidRPr="00135332">
              <w:rPr>
                <w:rFonts w:asciiTheme="minorHAnsi" w:hAnsiTheme="minorHAnsi" w:cstheme="minorHAnsi"/>
              </w:rPr>
              <w:t xml:space="preserve"> </w:t>
            </w:r>
            <w:r w:rsidR="00E07F9F">
              <w:rPr>
                <w:rFonts w:asciiTheme="minorHAnsi" w:hAnsiTheme="minorHAnsi" w:cstheme="minorHAnsi"/>
              </w:rPr>
              <w:t xml:space="preserve"> </w:t>
            </w:r>
            <w:r w:rsidRPr="00135332">
              <w:rPr>
                <w:rFonts w:asciiTheme="minorHAnsi" w:hAnsiTheme="minorHAnsi" w:cstheme="minorHAnsi"/>
              </w:rPr>
              <w:t>Ongoing analysis of the survey outcomes would continue within service areas and the faculties. It was reported that the overall satisfaction levels mask</w:t>
            </w:r>
            <w:r w:rsidR="00511618" w:rsidRPr="00135332">
              <w:rPr>
                <w:rFonts w:asciiTheme="minorHAnsi" w:hAnsiTheme="minorHAnsi" w:cstheme="minorHAnsi"/>
              </w:rPr>
              <w:t>ed</w:t>
            </w:r>
            <w:r w:rsidRPr="00135332">
              <w:rPr>
                <w:rFonts w:asciiTheme="minorHAnsi" w:hAnsiTheme="minorHAnsi" w:cstheme="minorHAnsi"/>
              </w:rPr>
              <w:t xml:space="preserve"> more nuanced messages from within and across each survey.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95"/>
              <w:gridCol w:w="902"/>
              <w:gridCol w:w="850"/>
              <w:gridCol w:w="992"/>
            </w:tblGrid>
            <w:tr w:rsidR="00EF0414" w:rsidRPr="00EF0414" w14:paraId="7F3167BB" w14:textId="77777777" w:rsidTr="00BA2509">
              <w:trPr>
                <w:jc w:val="center"/>
              </w:trPr>
              <w:tc>
                <w:tcPr>
                  <w:tcW w:w="695" w:type="dxa"/>
                </w:tcPr>
                <w:p w14:paraId="33EC8807" w14:textId="77777777" w:rsidR="00EF0414" w:rsidRPr="00EF0414" w:rsidRDefault="00EF0414" w:rsidP="00EF0414">
                  <w:pPr>
                    <w:spacing w:line="276" w:lineRule="auto"/>
                    <w:ind w:left="26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902" w:type="dxa"/>
                </w:tcPr>
                <w:p w14:paraId="142B441F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2017</w:t>
                  </w:r>
                </w:p>
              </w:tc>
              <w:tc>
                <w:tcPr>
                  <w:tcW w:w="850" w:type="dxa"/>
                </w:tcPr>
                <w:p w14:paraId="5AE108FD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14:paraId="0622C6CD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Change</w:t>
                  </w:r>
                </w:p>
              </w:tc>
            </w:tr>
            <w:tr w:rsidR="00EF0414" w:rsidRPr="00EF0414" w14:paraId="425D6629" w14:textId="77777777" w:rsidTr="00BA2509">
              <w:trPr>
                <w:jc w:val="center"/>
              </w:trPr>
              <w:tc>
                <w:tcPr>
                  <w:tcW w:w="695" w:type="dxa"/>
                </w:tcPr>
                <w:p w14:paraId="25657928" w14:textId="77777777" w:rsidR="00EF0414" w:rsidRPr="00EF0414" w:rsidRDefault="00EF0414" w:rsidP="00EF0414">
                  <w:pPr>
                    <w:spacing w:line="276" w:lineRule="auto"/>
                    <w:ind w:left="26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NSS</w:t>
                  </w:r>
                </w:p>
              </w:tc>
              <w:tc>
                <w:tcPr>
                  <w:tcW w:w="902" w:type="dxa"/>
                </w:tcPr>
                <w:p w14:paraId="40E5AFB3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86%</w:t>
                  </w:r>
                </w:p>
              </w:tc>
              <w:tc>
                <w:tcPr>
                  <w:tcW w:w="850" w:type="dxa"/>
                </w:tcPr>
                <w:p w14:paraId="46923A66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84%</w:t>
                  </w:r>
                </w:p>
              </w:tc>
              <w:tc>
                <w:tcPr>
                  <w:tcW w:w="992" w:type="dxa"/>
                  <w:shd w:val="clear" w:color="auto" w:fill="FFB9B9"/>
                </w:tcPr>
                <w:p w14:paraId="72D722C2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-2%</w:t>
                  </w:r>
                </w:p>
              </w:tc>
            </w:tr>
            <w:tr w:rsidR="00EF0414" w:rsidRPr="00EF0414" w14:paraId="5B2F7D19" w14:textId="77777777" w:rsidTr="00BA2509">
              <w:trPr>
                <w:jc w:val="center"/>
              </w:trPr>
              <w:tc>
                <w:tcPr>
                  <w:tcW w:w="695" w:type="dxa"/>
                </w:tcPr>
                <w:p w14:paraId="14250C23" w14:textId="77777777" w:rsidR="00EF0414" w:rsidRPr="00EF0414" w:rsidRDefault="00EF0414" w:rsidP="00EF0414">
                  <w:pPr>
                    <w:spacing w:line="276" w:lineRule="auto"/>
                    <w:ind w:left="26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PTES</w:t>
                  </w:r>
                </w:p>
              </w:tc>
              <w:tc>
                <w:tcPr>
                  <w:tcW w:w="902" w:type="dxa"/>
                </w:tcPr>
                <w:p w14:paraId="6C4F5B00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87%</w:t>
                  </w:r>
                </w:p>
              </w:tc>
              <w:tc>
                <w:tcPr>
                  <w:tcW w:w="850" w:type="dxa"/>
                </w:tcPr>
                <w:p w14:paraId="3B63095C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84%</w:t>
                  </w:r>
                </w:p>
              </w:tc>
              <w:tc>
                <w:tcPr>
                  <w:tcW w:w="992" w:type="dxa"/>
                  <w:shd w:val="clear" w:color="auto" w:fill="FFB9B9"/>
                </w:tcPr>
                <w:p w14:paraId="616AD9B9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-3%</w:t>
                  </w:r>
                </w:p>
              </w:tc>
            </w:tr>
            <w:tr w:rsidR="00EF0414" w:rsidRPr="00EF0414" w14:paraId="550F88D3" w14:textId="77777777" w:rsidTr="00BA2509">
              <w:trPr>
                <w:jc w:val="center"/>
              </w:trPr>
              <w:tc>
                <w:tcPr>
                  <w:tcW w:w="695" w:type="dxa"/>
                </w:tcPr>
                <w:p w14:paraId="47DF21B1" w14:textId="77777777" w:rsidR="00EF0414" w:rsidRPr="00EF0414" w:rsidRDefault="00EF0414" w:rsidP="00EF0414">
                  <w:pPr>
                    <w:spacing w:line="276" w:lineRule="auto"/>
                    <w:ind w:left="26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PRES</w:t>
                  </w:r>
                </w:p>
              </w:tc>
              <w:tc>
                <w:tcPr>
                  <w:tcW w:w="902" w:type="dxa"/>
                </w:tcPr>
                <w:p w14:paraId="561C5592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85%</w:t>
                  </w:r>
                </w:p>
              </w:tc>
              <w:tc>
                <w:tcPr>
                  <w:tcW w:w="850" w:type="dxa"/>
                </w:tcPr>
                <w:p w14:paraId="180BACD1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85%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2F17B30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0%</w:t>
                  </w:r>
                </w:p>
              </w:tc>
            </w:tr>
            <w:tr w:rsidR="00EF0414" w:rsidRPr="00EF0414" w14:paraId="25550E7C" w14:textId="77777777" w:rsidTr="00BA2509">
              <w:trPr>
                <w:jc w:val="center"/>
              </w:trPr>
              <w:tc>
                <w:tcPr>
                  <w:tcW w:w="695" w:type="dxa"/>
                </w:tcPr>
                <w:p w14:paraId="5000DCD2" w14:textId="77777777" w:rsidR="00EF0414" w:rsidRPr="00EF0414" w:rsidRDefault="00EF0414" w:rsidP="00EF0414">
                  <w:pPr>
                    <w:spacing w:line="276" w:lineRule="auto"/>
                    <w:ind w:left="26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b/>
                      <w:sz w:val="22"/>
                    </w:rPr>
                    <w:t>SES</w:t>
                  </w:r>
                </w:p>
              </w:tc>
              <w:tc>
                <w:tcPr>
                  <w:tcW w:w="902" w:type="dxa"/>
                </w:tcPr>
                <w:p w14:paraId="4C2439C8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83%</w:t>
                  </w:r>
                </w:p>
              </w:tc>
              <w:tc>
                <w:tcPr>
                  <w:tcW w:w="850" w:type="dxa"/>
                </w:tcPr>
                <w:p w14:paraId="24C9912A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76%</w:t>
                  </w:r>
                </w:p>
              </w:tc>
              <w:tc>
                <w:tcPr>
                  <w:tcW w:w="992" w:type="dxa"/>
                  <w:shd w:val="clear" w:color="auto" w:fill="FFB9B9"/>
                </w:tcPr>
                <w:p w14:paraId="63D2B420" w14:textId="77777777" w:rsidR="00EF0414" w:rsidRPr="00EF0414" w:rsidRDefault="00EF0414" w:rsidP="00EF0414">
                  <w:pPr>
                    <w:spacing w:line="276" w:lineRule="auto"/>
                    <w:ind w:left="26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EF0414">
                    <w:rPr>
                      <w:rFonts w:asciiTheme="minorHAnsi" w:hAnsiTheme="minorHAnsi" w:cstheme="minorHAnsi"/>
                      <w:sz w:val="22"/>
                    </w:rPr>
                    <w:t>-7%</w:t>
                  </w:r>
                </w:p>
              </w:tc>
            </w:tr>
          </w:tbl>
          <w:p w14:paraId="4B19833D" w14:textId="77777777" w:rsidR="00EF0414" w:rsidRPr="00EF0414" w:rsidRDefault="00EF0414" w:rsidP="00EF0414">
            <w:pPr>
              <w:spacing w:line="276" w:lineRule="auto"/>
              <w:ind w:left="26"/>
              <w:rPr>
                <w:rFonts w:asciiTheme="minorHAnsi" w:hAnsiTheme="minorHAnsi" w:cstheme="minorHAnsi"/>
                <w:sz w:val="24"/>
                <w:szCs w:val="22"/>
              </w:rPr>
            </w:pPr>
            <w:r w:rsidRPr="00EF0414">
              <w:rPr>
                <w:rFonts w:asciiTheme="minorHAnsi" w:hAnsiTheme="minorHAnsi" w:cstheme="minorHAnsi"/>
                <w:sz w:val="22"/>
              </w:rPr>
              <w:t>Table 1. Overall satisfaction scores for 2017 and 2018</w:t>
            </w:r>
          </w:p>
          <w:p w14:paraId="2CCC8CFC" w14:textId="77777777" w:rsidR="00EF0414" w:rsidRDefault="00EF0414" w:rsidP="00EF0414">
            <w:pPr>
              <w:pStyle w:val="ListParagraph"/>
              <w:ind w:left="26"/>
              <w:jc w:val="both"/>
              <w:rPr>
                <w:rFonts w:cs="Calibri"/>
              </w:rPr>
            </w:pPr>
          </w:p>
          <w:p w14:paraId="3E496083" w14:textId="09F26927" w:rsidR="00EF0414" w:rsidRPr="00917E08" w:rsidRDefault="00EF0414" w:rsidP="00EF0414">
            <w:pPr>
              <w:pStyle w:val="ListParagraph"/>
              <w:spacing w:after="0"/>
              <w:ind w:left="26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Whilst the Stirling NSS overall satisfaction decreased by 2% this was mirrored by reductions in the Scottish average of -2% and the UK average dropped by -1%. Across PTES </w:t>
            </w:r>
            <w:r>
              <w:rPr>
                <w:rFonts w:cs="Arial"/>
              </w:rPr>
              <w:t>t</w:t>
            </w:r>
            <w:r w:rsidRPr="00917E08">
              <w:rPr>
                <w:rFonts w:cs="Arial"/>
              </w:rPr>
              <w:t>he overall satisfaction score was 84%, a reduction of 3% on the previous year.</w:t>
            </w:r>
            <w:r>
              <w:rPr>
                <w:rFonts w:cs="Arial"/>
              </w:rPr>
              <w:t xml:space="preserve"> In the previous year, Stirling was ranked in the top quartile for seven of the question sections. The PRES overall </w:t>
            </w:r>
            <w:r>
              <w:rPr>
                <w:rFonts w:cs="Arial"/>
              </w:rPr>
              <w:lastRenderedPageBreak/>
              <w:t>satisfaction score wa</w:t>
            </w:r>
            <w:r w:rsidR="00B673B5">
              <w:rPr>
                <w:rFonts w:cs="Arial"/>
              </w:rPr>
              <w:t>s 85%, which wa</w:t>
            </w:r>
            <w:r w:rsidRPr="00FA0A00">
              <w:rPr>
                <w:rFonts w:cs="Arial"/>
              </w:rPr>
              <w:t>s the same score as last year</w:t>
            </w:r>
            <w:r>
              <w:rPr>
                <w:rFonts w:cs="Arial"/>
              </w:rPr>
              <w:t xml:space="preserve"> which </w:t>
            </w:r>
            <w:r w:rsidRPr="00FA0A00">
              <w:rPr>
                <w:rFonts w:cs="Arial"/>
              </w:rPr>
              <w:t>ranks in the top quartile</w:t>
            </w:r>
            <w:r>
              <w:rPr>
                <w:rFonts w:cs="Arial"/>
              </w:rPr>
              <w:t xml:space="preserve"> nationally</w:t>
            </w:r>
            <w:r w:rsidRPr="00FA0A00">
              <w:rPr>
                <w:rFonts w:cs="Arial"/>
              </w:rPr>
              <w:t xml:space="preserve">. </w:t>
            </w:r>
            <w:r w:rsidRPr="00C27608">
              <w:rPr>
                <w:rFonts w:cs="Arial"/>
              </w:rPr>
              <w:t>The SES overall satisfaction score was 76%, which was lower than the 2017 score (83%) and the 2018 NSS score (84%)</w:t>
            </w:r>
            <w:r>
              <w:rPr>
                <w:rFonts w:cs="Arial"/>
              </w:rPr>
              <w:t>.</w:t>
            </w:r>
            <w:r w:rsidRPr="00C27608">
              <w:rPr>
                <w:rFonts w:cs="Arial"/>
              </w:rPr>
              <w:t xml:space="preserve"> </w:t>
            </w:r>
            <w:r w:rsidRPr="00917E08">
              <w:rPr>
                <w:rFonts w:cs="Arial"/>
              </w:rPr>
              <w:t xml:space="preserve">Stirling </w:t>
            </w:r>
            <w:r w:rsidR="00B673B5">
              <w:rPr>
                <w:rFonts w:cs="Arial"/>
              </w:rPr>
              <w:t>was</w:t>
            </w:r>
            <w:r w:rsidRPr="00917E08">
              <w:rPr>
                <w:rFonts w:cs="Arial"/>
              </w:rPr>
              <w:t xml:space="preserve"> above the sector average for overall satisfaction by 4% and higher than the sector average for</w:t>
            </w:r>
            <w:r>
              <w:rPr>
                <w:rFonts w:cs="Arial"/>
              </w:rPr>
              <w:t xml:space="preserve"> every question section except resources and services</w:t>
            </w:r>
            <w:r w:rsidRPr="00917E08">
              <w:rPr>
                <w:rFonts w:cs="Arial"/>
              </w:rPr>
              <w:t>, where we were equal.</w:t>
            </w:r>
          </w:p>
          <w:p w14:paraId="5AC4B376" w14:textId="0D9A8AC3" w:rsidR="000C6A04" w:rsidRPr="00135332" w:rsidRDefault="000C6A04" w:rsidP="0051161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FB0852B" w14:textId="77777777" w:rsidR="00511618" w:rsidRPr="00E36C1F" w:rsidRDefault="00511618" w:rsidP="0051161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E36C1F">
              <w:rPr>
                <w:rFonts w:asciiTheme="minorHAnsi" w:hAnsiTheme="minorHAnsi" w:cstheme="minorHAnsi"/>
                <w:i/>
              </w:rPr>
              <w:t>National Student Survey</w:t>
            </w:r>
          </w:p>
          <w:p w14:paraId="7CA4CF77" w14:textId="7F6EF2BA" w:rsidR="00467378" w:rsidRPr="00135332" w:rsidRDefault="005A6E70" w:rsidP="0051161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35332">
              <w:rPr>
                <w:rFonts w:asciiTheme="minorHAnsi" w:hAnsiTheme="minorHAnsi" w:cstheme="minorHAnsi"/>
              </w:rPr>
              <w:t>Council noted that the 68% response rate was</w:t>
            </w:r>
            <w:r w:rsidR="00467378" w:rsidRPr="00135332">
              <w:rPr>
                <w:rFonts w:asciiTheme="minorHAnsi" w:hAnsiTheme="minorHAnsi" w:cstheme="minorHAnsi"/>
              </w:rPr>
              <w:t xml:space="preserve"> a 4</w:t>
            </w:r>
            <w:r w:rsidRPr="00135332">
              <w:rPr>
                <w:rFonts w:asciiTheme="minorHAnsi" w:hAnsiTheme="minorHAnsi" w:cstheme="minorHAnsi"/>
              </w:rPr>
              <w:t xml:space="preserve">% decline on the previous year and that </w:t>
            </w:r>
            <w:r w:rsidR="00511618" w:rsidRPr="00135332">
              <w:rPr>
                <w:rFonts w:asciiTheme="minorHAnsi" w:hAnsiTheme="minorHAnsi" w:cstheme="minorHAnsi"/>
              </w:rPr>
              <w:t xml:space="preserve">careful consideration </w:t>
            </w:r>
            <w:r w:rsidR="00D20164">
              <w:rPr>
                <w:rFonts w:asciiTheme="minorHAnsi" w:hAnsiTheme="minorHAnsi" w:cstheme="minorHAnsi"/>
              </w:rPr>
              <w:t>should</w:t>
            </w:r>
            <w:r w:rsidR="00511618" w:rsidRPr="00135332">
              <w:rPr>
                <w:rFonts w:asciiTheme="minorHAnsi" w:hAnsiTheme="minorHAnsi" w:cstheme="minorHAnsi"/>
              </w:rPr>
              <w:t xml:space="preserve"> be given when drawing</w:t>
            </w:r>
            <w:r w:rsidR="00467378" w:rsidRPr="00135332">
              <w:rPr>
                <w:rFonts w:asciiTheme="minorHAnsi" w:hAnsiTheme="minorHAnsi" w:cstheme="minorHAnsi"/>
              </w:rPr>
              <w:t xml:space="preserve"> comparison</w:t>
            </w:r>
            <w:r w:rsidR="00511618" w:rsidRPr="00135332">
              <w:rPr>
                <w:rFonts w:asciiTheme="minorHAnsi" w:hAnsiTheme="minorHAnsi" w:cstheme="minorHAnsi"/>
              </w:rPr>
              <w:t>s</w:t>
            </w:r>
            <w:r w:rsidR="00467378" w:rsidRPr="00135332">
              <w:rPr>
                <w:rFonts w:asciiTheme="minorHAnsi" w:hAnsiTheme="minorHAnsi" w:cstheme="minorHAnsi"/>
              </w:rPr>
              <w:t xml:space="preserve"> with </w:t>
            </w:r>
            <w:r w:rsidRPr="00135332">
              <w:rPr>
                <w:rFonts w:asciiTheme="minorHAnsi" w:hAnsiTheme="minorHAnsi" w:cstheme="minorHAnsi"/>
              </w:rPr>
              <w:t>Scottish and other benchmark</w:t>
            </w:r>
            <w:r w:rsidR="00467378" w:rsidRPr="00135332">
              <w:rPr>
                <w:rFonts w:asciiTheme="minorHAnsi" w:hAnsiTheme="minorHAnsi" w:cstheme="minorHAnsi"/>
              </w:rPr>
              <w:t xml:space="preserve"> institutions due to </w:t>
            </w:r>
            <w:r w:rsidRPr="00135332">
              <w:rPr>
                <w:rFonts w:asciiTheme="minorHAnsi" w:hAnsiTheme="minorHAnsi" w:cstheme="minorHAnsi"/>
              </w:rPr>
              <w:t xml:space="preserve">the </w:t>
            </w:r>
            <w:r w:rsidR="00467378" w:rsidRPr="00135332">
              <w:rPr>
                <w:rFonts w:asciiTheme="minorHAnsi" w:hAnsiTheme="minorHAnsi" w:cstheme="minorHAnsi"/>
              </w:rPr>
              <w:t>var</w:t>
            </w:r>
            <w:r w:rsidR="00511618" w:rsidRPr="00135332">
              <w:rPr>
                <w:rFonts w:asciiTheme="minorHAnsi" w:hAnsiTheme="minorHAnsi" w:cstheme="minorHAnsi"/>
              </w:rPr>
              <w:t>ied engagement in strike action</w:t>
            </w:r>
            <w:r w:rsidR="00467378" w:rsidRPr="00135332">
              <w:rPr>
                <w:rFonts w:asciiTheme="minorHAnsi" w:hAnsiTheme="minorHAnsi" w:cstheme="minorHAnsi"/>
              </w:rPr>
              <w:t xml:space="preserve"> and</w:t>
            </w:r>
            <w:r w:rsidRPr="00135332">
              <w:rPr>
                <w:rFonts w:asciiTheme="minorHAnsi" w:hAnsiTheme="minorHAnsi" w:cstheme="minorHAnsi"/>
              </w:rPr>
              <w:t xml:space="preserve"> the</w:t>
            </w:r>
            <w:r w:rsidR="00467378" w:rsidRPr="00135332">
              <w:rPr>
                <w:rFonts w:asciiTheme="minorHAnsi" w:hAnsiTheme="minorHAnsi" w:cstheme="minorHAnsi"/>
              </w:rPr>
              <w:t xml:space="preserve"> NSS boycott in previous years. </w:t>
            </w:r>
          </w:p>
          <w:p w14:paraId="41520848" w14:textId="1868A152" w:rsidR="00467378" w:rsidRPr="00135332" w:rsidRDefault="0051161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>ositive results c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>me in teaching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with excellent performances at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subject level.  O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pen text responses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highlighted 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>areas such as study space and group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 xml:space="preserve"> assessment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as sources of dissatisfaction. Alongside these two factors assessment f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eedback, 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the provision of 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>advice, organisation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and management of programmes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>student voice, and in particular how actions are taken f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ollowing feedback from students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identified as areas for potential improvement.</w:t>
            </w:r>
          </w:p>
          <w:p w14:paraId="03148F85" w14:textId="77777777" w:rsidR="00467378" w:rsidRPr="00135332" w:rsidRDefault="0046737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A191E" w14:textId="6EBFEDA1" w:rsidR="00467378" w:rsidRPr="00135332" w:rsidRDefault="00E07F9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agreed that further consideration must be given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>how students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feedback on </w:t>
            </w:r>
            <w:r w:rsidR="005A6E70" w:rsidRPr="00135332">
              <w:rPr>
                <w:rFonts w:asciiTheme="minorHAnsi" w:hAnsiTheme="minorHAnsi" w:cstheme="minorHAnsi"/>
                <w:sz w:val="22"/>
                <w:szCs w:val="22"/>
              </w:rPr>
              <w:t>modules acted upon at an earlier point in the module cycle, and outcomes reported back to students in a more effective and timely manner.</w:t>
            </w:r>
            <w:r w:rsidR="0085688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It was noted that social media could provide opportunities to open up a more informal exchange of feedback and actions and consideration was given to alternative mechanisms for engagement of External Examiners with students.</w:t>
            </w:r>
          </w:p>
          <w:p w14:paraId="0C6D6493" w14:textId="09437702" w:rsidR="00467378" w:rsidRPr="00135332" w:rsidRDefault="0046737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C6A56" w14:textId="33823CA9" w:rsidR="00467378" w:rsidRPr="00135332" w:rsidRDefault="005A6E70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856886" w:rsidRPr="0013533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ncil discussed the importance of using feedback mechanisms to identify positive outcomes and </w:t>
            </w:r>
            <w:r w:rsidR="0085688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good practice, seeking to balance this with the </w:t>
            </w:r>
            <w:r w:rsidR="00467378" w:rsidRPr="00135332">
              <w:rPr>
                <w:rFonts w:asciiTheme="minorHAnsi" w:hAnsiTheme="minorHAnsi" w:cstheme="minorHAnsi"/>
                <w:sz w:val="22"/>
                <w:szCs w:val="22"/>
              </w:rPr>
              <w:t>management of complaints</w:t>
            </w:r>
            <w:r w:rsidR="0085688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and concerns.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 A rigorous approach to curriculum design, the student voice, and empowering students to engage with the university community to identify solutions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would benefit students and support improvement in study survey outcomes.</w:t>
            </w:r>
          </w:p>
          <w:p w14:paraId="73B8418D" w14:textId="77777777" w:rsidR="00467378" w:rsidRPr="00135332" w:rsidRDefault="0046737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064E3" w14:textId="3E6645AF" w:rsidR="000C6A04" w:rsidRPr="00135332" w:rsidRDefault="0046737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Consideration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was given to the development of a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Learning and Teaching campaign, to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generate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positive messages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about activities in this area</w:t>
            </w:r>
            <w:r w:rsidR="00E07F9F">
              <w:rPr>
                <w:rFonts w:asciiTheme="minorHAnsi" w:hAnsiTheme="minorHAnsi" w:cstheme="minorHAnsi"/>
                <w:sz w:val="22"/>
                <w:szCs w:val="22"/>
              </w:rPr>
              <w:t>.  It was noted that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evaluation and response at </w:t>
            </w:r>
            <w:r w:rsidR="00E07F9F">
              <w:rPr>
                <w:rFonts w:asciiTheme="minorHAnsi" w:hAnsiTheme="minorHAnsi" w:cstheme="minorHAnsi"/>
                <w:sz w:val="22"/>
                <w:szCs w:val="22"/>
              </w:rPr>
              <w:t>all levels of the University were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important. </w:t>
            </w:r>
          </w:p>
          <w:p w14:paraId="24BF4C36" w14:textId="6158D1A6" w:rsidR="000C6A04" w:rsidRDefault="000C6A04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1C690" w14:textId="480B4599" w:rsidR="009B1F6A" w:rsidRPr="00E36C1F" w:rsidRDefault="009B1F6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36C1F">
              <w:rPr>
                <w:rFonts w:asciiTheme="minorHAnsi" w:hAnsiTheme="minorHAnsi" w:cstheme="minorHAnsi"/>
                <w:i/>
                <w:sz w:val="22"/>
                <w:szCs w:val="22"/>
              </w:rPr>
              <w:t>Postgraduate Taught Survey</w:t>
            </w:r>
          </w:p>
          <w:p w14:paraId="6C41D837" w14:textId="12149844" w:rsidR="00CC6A0F" w:rsidRPr="00135332" w:rsidRDefault="00CC6A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 w:rsidRPr="00E07F9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the PTES 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response rate was down 20% on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2017. O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verall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satisfaction fell, and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was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mainly derived from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feedback regarding the 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management of the programmes.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Performance in four out of the ni</w:t>
            </w:r>
            <w:r w:rsidR="00EB652C" w:rsidRPr="00135332">
              <w:rPr>
                <w:rFonts w:asciiTheme="minorHAnsi" w:hAnsiTheme="minorHAnsi" w:cstheme="minorHAnsi"/>
                <w:sz w:val="22"/>
                <w:szCs w:val="22"/>
              </w:rPr>
              <w:t>ne PTES question sections place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the University of Stirling in the top quartile in the sector, having been in the top quartile for seven question sections in the previous year</w:t>
            </w:r>
            <w:r w:rsidR="00EB652C" w:rsidRPr="001353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600971" w14:textId="77777777" w:rsidR="00EB652C" w:rsidRPr="00135332" w:rsidRDefault="00EB652C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10178" w14:textId="50D23E45" w:rsidR="009B1F6A" w:rsidRPr="00E36C1F" w:rsidRDefault="009B1F6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36C1F">
              <w:rPr>
                <w:rFonts w:asciiTheme="minorHAnsi" w:hAnsiTheme="minorHAnsi" w:cstheme="minorHAnsi"/>
                <w:i/>
                <w:sz w:val="22"/>
                <w:szCs w:val="22"/>
              </w:rPr>
              <w:t>Postgraduate Research Survey</w:t>
            </w:r>
          </w:p>
          <w:p w14:paraId="3BCEBB85" w14:textId="3B222ED6" w:rsidR="00CC6A0F" w:rsidRPr="00135332" w:rsidRDefault="00EB652C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The PRES also saw the response rate fall by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18%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on the previous year and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below 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the sector 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The University of Stirling wa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s ranked within the top quartile in PRES, with </w:t>
            </w:r>
            <w:r w:rsidR="00CC6A0F" w:rsidRPr="001353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performance in five out of eight PRES question sections ranking within the top quartile. In the previous year, Stirling was ranked top quartile for only one ques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tion section (research culture) and the results indicate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 range of outcomes across different subject areas and faculties.</w:t>
            </w:r>
          </w:p>
          <w:p w14:paraId="09DE9A36" w14:textId="5E8BD9B2" w:rsidR="00CC6A0F" w:rsidRDefault="00CC6A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B60D3" w14:textId="392E4C5B" w:rsidR="009B1F6A" w:rsidRPr="00E36C1F" w:rsidRDefault="009B1F6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36C1F">
              <w:rPr>
                <w:rFonts w:asciiTheme="minorHAnsi" w:hAnsiTheme="minorHAnsi" w:cstheme="minorHAnsi"/>
                <w:i/>
                <w:sz w:val="22"/>
                <w:szCs w:val="22"/>
              </w:rPr>
              <w:t>Stirling Experience Survey</w:t>
            </w:r>
          </w:p>
          <w:p w14:paraId="550E715A" w14:textId="296BA22F" w:rsidR="00597542" w:rsidRPr="00135332" w:rsidRDefault="00EB652C" w:rsidP="001E49A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E07F9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further 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>consideration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be given 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>to the use and management of the SES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internal survey for the early year UG students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in future, particular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ly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in light of the very low response rates. It was </w:t>
            </w:r>
            <w:r w:rsidR="00A969A6" w:rsidRPr="00E07F9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the overall satisfaction was 80% prior to the strike and 72% following the strike action. 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>Results indicate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there may be a need to c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>onsider the transitions between 2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and 3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0C6A04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year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in particular.</w:t>
            </w:r>
          </w:p>
        </w:tc>
      </w:tr>
      <w:tr w:rsidR="00597542" w:rsidRPr="00135332" w14:paraId="2ADAB6E6" w14:textId="77777777" w:rsidTr="00511618">
        <w:tc>
          <w:tcPr>
            <w:tcW w:w="721" w:type="dxa"/>
          </w:tcPr>
          <w:p w14:paraId="1D514F69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53602791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542" w:rsidRPr="00135332" w14:paraId="38380608" w14:textId="77777777" w:rsidTr="00511618">
        <w:tc>
          <w:tcPr>
            <w:tcW w:w="721" w:type="dxa"/>
          </w:tcPr>
          <w:p w14:paraId="23A76B80" w14:textId="43140B8F" w:rsidR="00597542" w:rsidRPr="00135332" w:rsidRDefault="0013533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524" w:type="dxa"/>
            <w:gridSpan w:val="2"/>
          </w:tcPr>
          <w:p w14:paraId="68D3CE16" w14:textId="03A4267B" w:rsidR="00597542" w:rsidRPr="00135332" w:rsidRDefault="00A969A6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DESTINATION OF LEAVERS FROM HIGHER EDUCATION </w:t>
            </w:r>
          </w:p>
        </w:tc>
        <w:tc>
          <w:tcPr>
            <w:tcW w:w="1771" w:type="dxa"/>
            <w:gridSpan w:val="4"/>
          </w:tcPr>
          <w:p w14:paraId="209611DD" w14:textId="2EB1C9AB" w:rsidR="00597542" w:rsidRPr="00135332" w:rsidRDefault="00A969A6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5</w:t>
            </w:r>
          </w:p>
        </w:tc>
      </w:tr>
      <w:tr w:rsidR="00597542" w:rsidRPr="00135332" w14:paraId="2F0EFEA8" w14:textId="77777777" w:rsidTr="00511618">
        <w:tc>
          <w:tcPr>
            <w:tcW w:w="721" w:type="dxa"/>
          </w:tcPr>
          <w:p w14:paraId="584C23F7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7C0CAA5F" w14:textId="3AFFBAFD" w:rsidR="00A969A6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undergraduate students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surveyed 6 months following graduation and the outcomes of the Destination of Leavers from Higher Education (DLHE)</w:t>
            </w:r>
            <w:r w:rsidR="009B1F6A">
              <w:rPr>
                <w:rFonts w:asciiTheme="minorHAnsi" w:hAnsiTheme="minorHAnsi" w:cstheme="minorHAnsi"/>
                <w:sz w:val="22"/>
                <w:szCs w:val="22"/>
              </w:rPr>
              <w:t xml:space="preserve"> survey</w:t>
            </w:r>
            <w:r w:rsidR="00B673B5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A969A6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into a number of league table outcomes. Within the 2016/17 survey the positive destination outcome saw the University achieve the Strategic Plan target. </w:t>
            </w:r>
          </w:p>
          <w:p w14:paraId="111C32FF" w14:textId="79657AD4" w:rsidR="00A969A6" w:rsidRPr="00135332" w:rsidRDefault="00A969A6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61B1D" w14:textId="47BCBBE8" w:rsidR="00A969A6" w:rsidRPr="00135332" w:rsidRDefault="00A969A6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It was reported that the results from the 2016/17 survey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last longer as a result of the transition from the DLHE to the Graduate Outcomes Survey which 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see undergraduate students surveyed 15 months after graduation. 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="001F26C5" w:rsidRPr="00E36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at the longer survey period would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see students transitioning from UG to PGT study surveyed following their PGT programme. </w:t>
            </w:r>
          </w:p>
          <w:p w14:paraId="53C03C1C" w14:textId="10CED10C" w:rsidR="001F26C5" w:rsidRPr="00135332" w:rsidRDefault="001F26C5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56EF7" w14:textId="4C9BDCC4" w:rsidR="00597542" w:rsidRPr="009B1F6A" w:rsidRDefault="009B1F6A" w:rsidP="009B1F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E07F9F">
              <w:rPr>
                <w:rFonts w:ascii="Calibri" w:hAnsi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further c</w:t>
            </w:r>
            <w:r w:rsidRPr="007F1DDC">
              <w:rPr>
                <w:rFonts w:ascii="Calibri" w:hAnsi="Calibri" w:cs="Calibri"/>
                <w:sz w:val="22"/>
                <w:szCs w:val="22"/>
              </w:rPr>
              <w:t>onsideration would be given to ongoing engagement with graduates and alumni in future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97542" w:rsidRPr="00135332" w14:paraId="550C65F9" w14:textId="77777777" w:rsidTr="00511618">
        <w:tc>
          <w:tcPr>
            <w:tcW w:w="721" w:type="dxa"/>
          </w:tcPr>
          <w:p w14:paraId="6D4C2F7F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1EC70B62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542" w:rsidRPr="00135332" w14:paraId="10122C38" w14:textId="77777777" w:rsidTr="00511618">
        <w:tc>
          <w:tcPr>
            <w:tcW w:w="721" w:type="dxa"/>
          </w:tcPr>
          <w:p w14:paraId="57B0E436" w14:textId="08F9B90B" w:rsidR="00597542" w:rsidRPr="00135332" w:rsidRDefault="0013533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645" w:type="dxa"/>
            <w:gridSpan w:val="4"/>
            <w:vAlign w:val="center"/>
          </w:tcPr>
          <w:p w14:paraId="382FD4E4" w14:textId="781E9FE4" w:rsidR="00597542" w:rsidRPr="00135332" w:rsidRDefault="001F26C5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ANNUAL REPORTS FROM COUNCIL’S COMMITTEES</w:t>
            </w:r>
          </w:p>
        </w:tc>
        <w:tc>
          <w:tcPr>
            <w:tcW w:w="1650" w:type="dxa"/>
            <w:gridSpan w:val="2"/>
            <w:vAlign w:val="center"/>
          </w:tcPr>
          <w:p w14:paraId="1E071089" w14:textId="400CF7DE" w:rsidR="00597542" w:rsidRPr="00135332" w:rsidRDefault="001F26C5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6</w:t>
            </w:r>
          </w:p>
        </w:tc>
      </w:tr>
      <w:tr w:rsidR="00597542" w:rsidRPr="00135332" w14:paraId="5157ABB1" w14:textId="77777777" w:rsidTr="00511618">
        <w:tc>
          <w:tcPr>
            <w:tcW w:w="721" w:type="dxa"/>
          </w:tcPr>
          <w:p w14:paraId="243708A8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2C72F617" w14:textId="79FA617F" w:rsidR="00597542" w:rsidRPr="00135332" w:rsidRDefault="001F26C5" w:rsidP="001E49A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the annual report from the Education and Student Experience Com</w:t>
            </w:r>
            <w:r w:rsidR="001E49A3" w:rsidRPr="00135332">
              <w:rPr>
                <w:rFonts w:asciiTheme="minorHAnsi" w:hAnsiTheme="minorHAnsi" w:cstheme="minorHAnsi"/>
                <w:sz w:val="22"/>
                <w:szCs w:val="22"/>
              </w:rPr>
              <w:t>mittee for 2017/18 which provided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 summary of the progress of the committee over the period and an evaluation of the achievement of the committee remit. </w:t>
            </w:r>
          </w:p>
        </w:tc>
      </w:tr>
      <w:tr w:rsidR="00597542" w:rsidRPr="00135332" w14:paraId="4B06E2A2" w14:textId="77777777" w:rsidTr="00511618">
        <w:tc>
          <w:tcPr>
            <w:tcW w:w="721" w:type="dxa"/>
          </w:tcPr>
          <w:p w14:paraId="2B628F40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7F1E5DF1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</w:tr>
      <w:tr w:rsidR="00597542" w:rsidRPr="00135332" w14:paraId="0BE013F9" w14:textId="77777777" w:rsidTr="00511618">
        <w:tc>
          <w:tcPr>
            <w:tcW w:w="721" w:type="dxa"/>
          </w:tcPr>
          <w:p w14:paraId="623132E5" w14:textId="029F9D2B" w:rsidR="00597542" w:rsidRPr="00135332" w:rsidRDefault="0013533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624" w:type="dxa"/>
            <w:gridSpan w:val="3"/>
            <w:vAlign w:val="center"/>
          </w:tcPr>
          <w:p w14:paraId="147A776D" w14:textId="6860E60A" w:rsidR="00597542" w:rsidRPr="00135332" w:rsidRDefault="001F26C5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REPORT FROM COUNCIL COMMITTEES</w:t>
            </w:r>
          </w:p>
        </w:tc>
        <w:tc>
          <w:tcPr>
            <w:tcW w:w="1671" w:type="dxa"/>
            <w:gridSpan w:val="3"/>
            <w:vAlign w:val="center"/>
          </w:tcPr>
          <w:p w14:paraId="39444A38" w14:textId="743D2898" w:rsidR="00597542" w:rsidRPr="00135332" w:rsidRDefault="001F26C5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7</w:t>
            </w:r>
          </w:p>
        </w:tc>
      </w:tr>
      <w:tr w:rsidR="00597542" w:rsidRPr="00135332" w14:paraId="4BD88377" w14:textId="77777777" w:rsidTr="00511618">
        <w:tc>
          <w:tcPr>
            <w:tcW w:w="721" w:type="dxa"/>
          </w:tcPr>
          <w:p w14:paraId="2E6AF1D4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57CC1899" w14:textId="46D95FB7" w:rsidR="00597542" w:rsidRPr="00135332" w:rsidRDefault="00597542" w:rsidP="00BA250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a report from the Research Committee of the meeting of the 29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A2509">
              <w:rPr>
                <w:rFonts w:asciiTheme="minorHAnsi" w:hAnsiTheme="minorHAnsi" w:cstheme="minorHAnsi"/>
                <w:sz w:val="22"/>
                <w:szCs w:val="22"/>
              </w:rPr>
              <w:t xml:space="preserve"> August 2018.  It was </w:t>
            </w:r>
            <w:r w:rsidR="001F26C5" w:rsidRPr="00BA250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mock REF panels had been planned over the Autumn semester and feedback had been provided to those preparing impact cases. Deans of Faculty and Associate Deans for Research </w:t>
            </w:r>
            <w:r w:rsidR="00BA2509">
              <w:rPr>
                <w:rFonts w:asciiTheme="minorHAnsi" w:hAnsiTheme="minorHAnsi" w:cstheme="minorHAnsi"/>
                <w:sz w:val="22"/>
                <w:szCs w:val="22"/>
              </w:rPr>
              <w:t>we</w:t>
            </w:r>
            <w:r w:rsidR="001F26C5" w:rsidRPr="00135332">
              <w:rPr>
                <w:rFonts w:asciiTheme="minorHAnsi" w:hAnsiTheme="minorHAnsi" w:cstheme="minorHAnsi"/>
                <w:sz w:val="22"/>
                <w:szCs w:val="22"/>
              </w:rPr>
              <w:t>re encouraged to engage with these key activities supporting preparation for the REF 2021.</w:t>
            </w:r>
          </w:p>
        </w:tc>
      </w:tr>
      <w:tr w:rsidR="00597542" w:rsidRPr="00135332" w14:paraId="3D1103A9" w14:textId="77777777" w:rsidTr="00511618">
        <w:tc>
          <w:tcPr>
            <w:tcW w:w="721" w:type="dxa"/>
          </w:tcPr>
          <w:p w14:paraId="4C385CEC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2951AAC5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</w:tr>
      <w:tr w:rsidR="00597542" w:rsidRPr="00135332" w14:paraId="39536F1D" w14:textId="77777777" w:rsidTr="00511618">
        <w:tc>
          <w:tcPr>
            <w:tcW w:w="721" w:type="dxa"/>
          </w:tcPr>
          <w:p w14:paraId="50C637CB" w14:textId="17569F96" w:rsidR="00597542" w:rsidRPr="00135332" w:rsidRDefault="0013533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687" w:type="dxa"/>
            <w:gridSpan w:val="5"/>
            <w:vAlign w:val="center"/>
          </w:tcPr>
          <w:p w14:paraId="5F5758EF" w14:textId="7CFA53FB" w:rsidR="00597542" w:rsidRPr="00135332" w:rsidRDefault="005F611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APPOINTMENTS TO COMMITTEES</w:t>
            </w:r>
          </w:p>
        </w:tc>
        <w:tc>
          <w:tcPr>
            <w:tcW w:w="1608" w:type="dxa"/>
          </w:tcPr>
          <w:p w14:paraId="34FBC222" w14:textId="32ED7F57" w:rsidR="00597542" w:rsidRPr="00135332" w:rsidRDefault="005F6119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AC (18/19) 8</w:t>
            </w:r>
          </w:p>
        </w:tc>
      </w:tr>
      <w:tr w:rsidR="00597542" w:rsidRPr="00135332" w14:paraId="0E7EAF0F" w14:textId="77777777" w:rsidTr="00511618">
        <w:tc>
          <w:tcPr>
            <w:tcW w:w="721" w:type="dxa"/>
          </w:tcPr>
          <w:p w14:paraId="50DA806E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6"/>
            <w:vAlign w:val="center"/>
          </w:tcPr>
          <w:p w14:paraId="34ED4BB8" w14:textId="2DB90042" w:rsidR="00597542" w:rsidRPr="00135332" w:rsidRDefault="00AE0158" w:rsidP="00511618">
            <w:pPr>
              <w:spacing w:line="276" w:lineRule="auto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Academic Council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the changes made to the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membership of the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Discipline Committee and Appeal Board under Chairs Action.</w:t>
            </w:r>
          </w:p>
        </w:tc>
      </w:tr>
    </w:tbl>
    <w:p w14:paraId="6F0FCA6B" w14:textId="77777777" w:rsidR="00BA2509" w:rsidRDefault="00BA2509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1"/>
        <w:gridCol w:w="8295"/>
      </w:tblGrid>
      <w:tr w:rsidR="00597542" w:rsidRPr="00135332" w14:paraId="5E6E6724" w14:textId="77777777" w:rsidTr="00511618">
        <w:tc>
          <w:tcPr>
            <w:tcW w:w="721" w:type="dxa"/>
          </w:tcPr>
          <w:p w14:paraId="2D0E846E" w14:textId="1C39C38D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vAlign w:val="center"/>
          </w:tcPr>
          <w:p w14:paraId="20FB295C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</w:tr>
      <w:tr w:rsidR="00597542" w:rsidRPr="00135332" w14:paraId="4A40C349" w14:textId="77777777" w:rsidTr="00511618">
        <w:tc>
          <w:tcPr>
            <w:tcW w:w="721" w:type="dxa"/>
          </w:tcPr>
          <w:p w14:paraId="4C77BD2C" w14:textId="70928C50" w:rsidR="00597542" w:rsidRPr="00135332" w:rsidRDefault="0013533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597542"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295" w:type="dxa"/>
            <w:vAlign w:val="center"/>
          </w:tcPr>
          <w:p w14:paraId="28A12CCF" w14:textId="3C3E2258" w:rsidR="00597542" w:rsidRPr="00135332" w:rsidRDefault="005F611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ANNUAL REPORT ON INSTITUTION-LED REVIEW</w:t>
            </w:r>
          </w:p>
        </w:tc>
      </w:tr>
      <w:tr w:rsidR="00597542" w:rsidRPr="00135332" w14:paraId="60500284" w14:textId="77777777" w:rsidTr="00511618">
        <w:tc>
          <w:tcPr>
            <w:tcW w:w="721" w:type="dxa"/>
          </w:tcPr>
          <w:p w14:paraId="3190A94D" w14:textId="77777777" w:rsidR="00597542" w:rsidRPr="00135332" w:rsidRDefault="00597542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vAlign w:val="center"/>
          </w:tcPr>
          <w:p w14:paraId="15BBCA63" w14:textId="3D45A21F" w:rsidR="005F6119" w:rsidRPr="00135332" w:rsidRDefault="00AE0158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>Academic Council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endors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ed</w:t>
            </w:r>
            <w:r w:rsidR="005F6119"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the annual report to the Scottish Funding Council on institution-led review in 2017/18.</w:t>
            </w:r>
          </w:p>
        </w:tc>
      </w:tr>
      <w:tr w:rsidR="005F6119" w:rsidRPr="00135332" w14:paraId="563B3176" w14:textId="77777777" w:rsidTr="00511618">
        <w:tc>
          <w:tcPr>
            <w:tcW w:w="721" w:type="dxa"/>
          </w:tcPr>
          <w:p w14:paraId="28DD252F" w14:textId="77777777" w:rsidR="005F6119" w:rsidRPr="00135332" w:rsidRDefault="005F611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vAlign w:val="center"/>
          </w:tcPr>
          <w:p w14:paraId="46E83B63" w14:textId="77777777" w:rsidR="005F6119" w:rsidRPr="00135332" w:rsidRDefault="005F6119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D3818D" w14:textId="77777777" w:rsidR="00A22186" w:rsidRDefault="00A22186" w:rsidP="00511618">
      <w:pPr>
        <w:spacing w:line="276" w:lineRule="auto"/>
        <w:rPr>
          <w:rFonts w:ascii="Calibri" w:hAnsi="Calibri" w:cs="Calibri"/>
          <w:b/>
        </w:rPr>
      </w:pPr>
    </w:p>
    <w:p w14:paraId="07C05391" w14:textId="2FB6331C" w:rsidR="00D437CC" w:rsidRPr="00D437CC" w:rsidRDefault="00D437CC" w:rsidP="00511618">
      <w:pPr>
        <w:spacing w:line="276" w:lineRule="auto"/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Erica Hensens</w:t>
      </w:r>
    </w:p>
    <w:p w14:paraId="78529DFD" w14:textId="77777777" w:rsidR="00D437CC" w:rsidRPr="00D437CC" w:rsidRDefault="00D437CC" w:rsidP="00511618">
      <w:pPr>
        <w:spacing w:line="276" w:lineRule="auto"/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Head of Academic Quality and Governance</w:t>
      </w:r>
    </w:p>
    <w:p w14:paraId="1483FB95" w14:textId="77777777" w:rsidR="00D437CC" w:rsidRPr="00D437CC" w:rsidRDefault="00D437CC" w:rsidP="00511618">
      <w:pPr>
        <w:spacing w:line="276" w:lineRule="auto"/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Academic Registry</w:t>
      </w:r>
    </w:p>
    <w:p w14:paraId="26574298" w14:textId="43978625" w:rsidR="00D437CC" w:rsidRPr="00D437CC" w:rsidRDefault="005F6119" w:rsidP="00511618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September</w:t>
      </w:r>
      <w:r w:rsidR="00F53FC4" w:rsidRPr="00D437CC">
        <w:rPr>
          <w:rFonts w:ascii="Calibri" w:hAnsi="Calibri" w:cs="Calibri"/>
          <w:b/>
        </w:rPr>
        <w:t xml:space="preserve"> </w:t>
      </w:r>
      <w:r w:rsidR="00AA6078">
        <w:rPr>
          <w:rFonts w:ascii="Calibri" w:hAnsi="Calibri" w:cs="Calibri"/>
          <w:b/>
        </w:rPr>
        <w:t>2018</w:t>
      </w:r>
    </w:p>
    <w:sectPr w:rsidR="00D437CC" w:rsidRPr="00D437CC" w:rsidSect="004659B4">
      <w:headerReference w:type="default" r:id="rId9"/>
      <w:pgSz w:w="11906" w:h="16838"/>
      <w:pgMar w:top="1418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A08D" w14:textId="77777777" w:rsidR="009F4A67" w:rsidRDefault="009F4A67" w:rsidP="009117D3">
      <w:r>
        <w:separator/>
      </w:r>
    </w:p>
  </w:endnote>
  <w:endnote w:type="continuationSeparator" w:id="0">
    <w:p w14:paraId="63D64F13" w14:textId="77777777" w:rsidR="009F4A67" w:rsidRDefault="009F4A67" w:rsidP="009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E2E2" w14:textId="77777777" w:rsidR="009F4A67" w:rsidRDefault="009F4A67" w:rsidP="009117D3">
      <w:r>
        <w:separator/>
      </w:r>
    </w:p>
  </w:footnote>
  <w:footnote w:type="continuationSeparator" w:id="0">
    <w:p w14:paraId="74E18304" w14:textId="77777777" w:rsidR="009F4A67" w:rsidRDefault="009F4A67" w:rsidP="009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0CBA" w14:textId="75511B9E" w:rsidR="00CE6A1E" w:rsidRPr="007E3D24" w:rsidRDefault="00CE6A1E" w:rsidP="00CE6A1E">
    <w:pPr>
      <w:pStyle w:val="Header"/>
      <w:jc w:val="right"/>
      <w:rPr>
        <w:rFonts w:ascii="Calibri" w:hAnsi="Calibri" w:cs="Calibri"/>
      </w:rPr>
    </w:pPr>
    <w:r w:rsidRPr="007E3D24">
      <w:rPr>
        <w:rFonts w:ascii="Calibri" w:hAnsi="Calibri" w:cs="Calibri"/>
        <w:b/>
        <w:sz w:val="22"/>
      </w:rPr>
      <w:t>A</w:t>
    </w:r>
    <w:r w:rsidR="00FE710B">
      <w:rPr>
        <w:rFonts w:ascii="Calibri" w:hAnsi="Calibri" w:cs="Calibri"/>
        <w:b/>
        <w:sz w:val="22"/>
      </w:rPr>
      <w:t>C (18</w:t>
    </w:r>
    <w:r w:rsidR="00C244B9">
      <w:rPr>
        <w:rFonts w:ascii="Calibri" w:hAnsi="Calibri" w:cs="Calibri"/>
        <w:b/>
        <w:sz w:val="22"/>
      </w:rPr>
      <w:t>/19</w:t>
    </w:r>
    <w:r w:rsidRPr="007E3D24">
      <w:rPr>
        <w:rFonts w:ascii="Calibri" w:hAnsi="Calibri" w:cs="Calibri"/>
        <w:b/>
        <w:sz w:val="22"/>
      </w:rPr>
      <w:t xml:space="preserve">) Minute </w:t>
    </w:r>
    <w:r w:rsidR="00C244B9">
      <w:rPr>
        <w:rFonts w:ascii="Calibri" w:hAnsi="Calibri" w:cs="Calibri"/>
        <w:b/>
        <w:sz w:val="22"/>
      </w:rPr>
      <w:t>1</w:t>
    </w:r>
  </w:p>
  <w:p w14:paraId="7308F0EB" w14:textId="77777777" w:rsidR="0030357E" w:rsidRDefault="0030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C0E"/>
    <w:multiLevelType w:val="hybridMultilevel"/>
    <w:tmpl w:val="04AE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4A7F"/>
    <w:multiLevelType w:val="hybridMultilevel"/>
    <w:tmpl w:val="3DF68B0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A022D"/>
    <w:multiLevelType w:val="hybridMultilevel"/>
    <w:tmpl w:val="5CD0E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8440AD"/>
    <w:multiLevelType w:val="hybridMultilevel"/>
    <w:tmpl w:val="D60C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082B30"/>
    <w:multiLevelType w:val="hybridMultilevel"/>
    <w:tmpl w:val="2B0603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820E57"/>
    <w:multiLevelType w:val="hybridMultilevel"/>
    <w:tmpl w:val="C70C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F264B"/>
    <w:multiLevelType w:val="hybridMultilevel"/>
    <w:tmpl w:val="75F0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37C3"/>
    <w:multiLevelType w:val="hybridMultilevel"/>
    <w:tmpl w:val="DA800660"/>
    <w:lvl w:ilvl="0" w:tplc="A1D035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1752"/>
    <w:multiLevelType w:val="hybridMultilevel"/>
    <w:tmpl w:val="3AB45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A1137"/>
    <w:multiLevelType w:val="hybridMultilevel"/>
    <w:tmpl w:val="300E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51BC9"/>
    <w:multiLevelType w:val="hybridMultilevel"/>
    <w:tmpl w:val="6508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0417"/>
    <w:multiLevelType w:val="hybridMultilevel"/>
    <w:tmpl w:val="45E28332"/>
    <w:lvl w:ilvl="0" w:tplc="E764A8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D50427"/>
    <w:multiLevelType w:val="hybridMultilevel"/>
    <w:tmpl w:val="0A8C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9F015D"/>
    <w:multiLevelType w:val="hybridMultilevel"/>
    <w:tmpl w:val="F550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000AD"/>
    <w:multiLevelType w:val="hybridMultilevel"/>
    <w:tmpl w:val="E6F4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517"/>
    <w:multiLevelType w:val="hybridMultilevel"/>
    <w:tmpl w:val="EEE0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DA39A9"/>
    <w:multiLevelType w:val="hybridMultilevel"/>
    <w:tmpl w:val="A4222CCA"/>
    <w:lvl w:ilvl="0" w:tplc="07943CB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20975"/>
    <w:multiLevelType w:val="hybridMultilevel"/>
    <w:tmpl w:val="724AE2C8"/>
    <w:lvl w:ilvl="0" w:tplc="4D5E7C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A7785A"/>
    <w:multiLevelType w:val="hybridMultilevel"/>
    <w:tmpl w:val="57189320"/>
    <w:lvl w:ilvl="0" w:tplc="E764A8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B41608"/>
    <w:multiLevelType w:val="hybridMultilevel"/>
    <w:tmpl w:val="CEB6D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31DDE"/>
    <w:multiLevelType w:val="hybridMultilevel"/>
    <w:tmpl w:val="00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4385"/>
    <w:multiLevelType w:val="hybridMultilevel"/>
    <w:tmpl w:val="ED58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47CD6"/>
    <w:multiLevelType w:val="hybridMultilevel"/>
    <w:tmpl w:val="CED8B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C737E"/>
    <w:multiLevelType w:val="hybridMultilevel"/>
    <w:tmpl w:val="F506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31005"/>
    <w:multiLevelType w:val="hybridMultilevel"/>
    <w:tmpl w:val="94A4CC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67F276F"/>
    <w:multiLevelType w:val="hybridMultilevel"/>
    <w:tmpl w:val="198673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6"/>
  </w:num>
  <w:num w:numId="3">
    <w:abstractNumId w:val="37"/>
  </w:num>
  <w:num w:numId="4">
    <w:abstractNumId w:val="29"/>
  </w:num>
  <w:num w:numId="5">
    <w:abstractNumId w:val="1"/>
  </w:num>
  <w:num w:numId="6">
    <w:abstractNumId w:val="34"/>
  </w:num>
  <w:num w:numId="7">
    <w:abstractNumId w:val="39"/>
  </w:num>
  <w:num w:numId="8">
    <w:abstractNumId w:val="41"/>
  </w:num>
  <w:num w:numId="9">
    <w:abstractNumId w:val="20"/>
  </w:num>
  <w:num w:numId="10">
    <w:abstractNumId w:val="8"/>
  </w:num>
  <w:num w:numId="11">
    <w:abstractNumId w:val="2"/>
  </w:num>
  <w:num w:numId="12">
    <w:abstractNumId w:val="31"/>
  </w:num>
  <w:num w:numId="13">
    <w:abstractNumId w:val="22"/>
  </w:num>
  <w:num w:numId="14">
    <w:abstractNumId w:val="11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38"/>
  </w:num>
  <w:num w:numId="20">
    <w:abstractNumId w:val="9"/>
  </w:num>
  <w:num w:numId="21">
    <w:abstractNumId w:val="30"/>
  </w:num>
  <w:num w:numId="22">
    <w:abstractNumId w:val="15"/>
  </w:num>
  <w:num w:numId="23">
    <w:abstractNumId w:val="21"/>
  </w:num>
  <w:num w:numId="24">
    <w:abstractNumId w:val="36"/>
  </w:num>
  <w:num w:numId="25">
    <w:abstractNumId w:val="40"/>
  </w:num>
  <w:num w:numId="26">
    <w:abstractNumId w:val="27"/>
  </w:num>
  <w:num w:numId="27">
    <w:abstractNumId w:val="7"/>
  </w:num>
  <w:num w:numId="28">
    <w:abstractNumId w:val="4"/>
  </w:num>
  <w:num w:numId="29">
    <w:abstractNumId w:val="17"/>
  </w:num>
  <w:num w:numId="30">
    <w:abstractNumId w:val="33"/>
  </w:num>
  <w:num w:numId="31">
    <w:abstractNumId w:val="24"/>
  </w:num>
  <w:num w:numId="32">
    <w:abstractNumId w:val="26"/>
  </w:num>
  <w:num w:numId="33">
    <w:abstractNumId w:val="23"/>
  </w:num>
  <w:num w:numId="34">
    <w:abstractNumId w:val="25"/>
  </w:num>
  <w:num w:numId="35">
    <w:abstractNumId w:val="32"/>
  </w:num>
  <w:num w:numId="36">
    <w:abstractNumId w:val="3"/>
  </w:num>
  <w:num w:numId="37">
    <w:abstractNumId w:val="13"/>
  </w:num>
  <w:num w:numId="38">
    <w:abstractNumId w:val="35"/>
  </w:num>
  <w:num w:numId="39">
    <w:abstractNumId w:val="14"/>
  </w:num>
  <w:num w:numId="40">
    <w:abstractNumId w:val="28"/>
  </w:num>
  <w:num w:numId="41">
    <w:abstractNumId w:val="19"/>
  </w:num>
  <w:num w:numId="42">
    <w:abstractNumId w:val="19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5"/>
    <w:rsid w:val="00005D43"/>
    <w:rsid w:val="00014079"/>
    <w:rsid w:val="000200D1"/>
    <w:rsid w:val="00020AE2"/>
    <w:rsid w:val="000234B9"/>
    <w:rsid w:val="00023525"/>
    <w:rsid w:val="0003315F"/>
    <w:rsid w:val="0003756B"/>
    <w:rsid w:val="00041781"/>
    <w:rsid w:val="000419E9"/>
    <w:rsid w:val="00042EC6"/>
    <w:rsid w:val="00047E59"/>
    <w:rsid w:val="000503F6"/>
    <w:rsid w:val="00057AD8"/>
    <w:rsid w:val="00057DF1"/>
    <w:rsid w:val="0007123B"/>
    <w:rsid w:val="00071DC3"/>
    <w:rsid w:val="000825B8"/>
    <w:rsid w:val="00085513"/>
    <w:rsid w:val="00085D03"/>
    <w:rsid w:val="000909EB"/>
    <w:rsid w:val="00093E99"/>
    <w:rsid w:val="00096237"/>
    <w:rsid w:val="000A4303"/>
    <w:rsid w:val="000A53E3"/>
    <w:rsid w:val="000A7BAF"/>
    <w:rsid w:val="000B6E8D"/>
    <w:rsid w:val="000C4028"/>
    <w:rsid w:val="000C5936"/>
    <w:rsid w:val="000C6A04"/>
    <w:rsid w:val="000D71A9"/>
    <w:rsid w:val="000E49A1"/>
    <w:rsid w:val="000E6898"/>
    <w:rsid w:val="000F1311"/>
    <w:rsid w:val="000F1845"/>
    <w:rsid w:val="000F1C07"/>
    <w:rsid w:val="000F57D9"/>
    <w:rsid w:val="00102DE2"/>
    <w:rsid w:val="001054C9"/>
    <w:rsid w:val="00106D60"/>
    <w:rsid w:val="00112ABF"/>
    <w:rsid w:val="00114076"/>
    <w:rsid w:val="00117611"/>
    <w:rsid w:val="00117BEA"/>
    <w:rsid w:val="00122C4F"/>
    <w:rsid w:val="00122DCB"/>
    <w:rsid w:val="00123EC2"/>
    <w:rsid w:val="001242A4"/>
    <w:rsid w:val="00125A4C"/>
    <w:rsid w:val="00130618"/>
    <w:rsid w:val="00135332"/>
    <w:rsid w:val="00135FCE"/>
    <w:rsid w:val="00161820"/>
    <w:rsid w:val="00162EBA"/>
    <w:rsid w:val="00165267"/>
    <w:rsid w:val="001657F2"/>
    <w:rsid w:val="00166B89"/>
    <w:rsid w:val="00177B37"/>
    <w:rsid w:val="00181131"/>
    <w:rsid w:val="00186648"/>
    <w:rsid w:val="001A48B1"/>
    <w:rsid w:val="001A50B6"/>
    <w:rsid w:val="001A5309"/>
    <w:rsid w:val="001A7537"/>
    <w:rsid w:val="001A7904"/>
    <w:rsid w:val="001B06F4"/>
    <w:rsid w:val="001B1E13"/>
    <w:rsid w:val="001B2771"/>
    <w:rsid w:val="001B3391"/>
    <w:rsid w:val="001B658C"/>
    <w:rsid w:val="001C1804"/>
    <w:rsid w:val="001C2FF5"/>
    <w:rsid w:val="001C562D"/>
    <w:rsid w:val="001C7DA8"/>
    <w:rsid w:val="001D01DF"/>
    <w:rsid w:val="001D053A"/>
    <w:rsid w:val="001D29C4"/>
    <w:rsid w:val="001D316F"/>
    <w:rsid w:val="001D595C"/>
    <w:rsid w:val="001D634D"/>
    <w:rsid w:val="001E49A3"/>
    <w:rsid w:val="001E6916"/>
    <w:rsid w:val="001F1530"/>
    <w:rsid w:val="001F18BE"/>
    <w:rsid w:val="001F26C5"/>
    <w:rsid w:val="001F6E59"/>
    <w:rsid w:val="002032BA"/>
    <w:rsid w:val="0020383D"/>
    <w:rsid w:val="0020785D"/>
    <w:rsid w:val="002129B8"/>
    <w:rsid w:val="002179EE"/>
    <w:rsid w:val="00222EE5"/>
    <w:rsid w:val="002254D5"/>
    <w:rsid w:val="0022550C"/>
    <w:rsid w:val="00226997"/>
    <w:rsid w:val="0024226B"/>
    <w:rsid w:val="00247CCE"/>
    <w:rsid w:val="002500B9"/>
    <w:rsid w:val="00256DD4"/>
    <w:rsid w:val="00257F9C"/>
    <w:rsid w:val="00264ECE"/>
    <w:rsid w:val="00265B0C"/>
    <w:rsid w:val="0027194C"/>
    <w:rsid w:val="00276646"/>
    <w:rsid w:val="002773D6"/>
    <w:rsid w:val="0028301B"/>
    <w:rsid w:val="00283DF7"/>
    <w:rsid w:val="00284068"/>
    <w:rsid w:val="002878FA"/>
    <w:rsid w:val="00287904"/>
    <w:rsid w:val="00291B4B"/>
    <w:rsid w:val="00296690"/>
    <w:rsid w:val="002A1162"/>
    <w:rsid w:val="002A14B7"/>
    <w:rsid w:val="002A24FD"/>
    <w:rsid w:val="002B0533"/>
    <w:rsid w:val="002B58E1"/>
    <w:rsid w:val="002B7117"/>
    <w:rsid w:val="002B7A6D"/>
    <w:rsid w:val="002C0F72"/>
    <w:rsid w:val="002C2489"/>
    <w:rsid w:val="002D10FF"/>
    <w:rsid w:val="002D1FF3"/>
    <w:rsid w:val="002D33AC"/>
    <w:rsid w:val="002D47AD"/>
    <w:rsid w:val="002E1676"/>
    <w:rsid w:val="002E36C1"/>
    <w:rsid w:val="002E3EAD"/>
    <w:rsid w:val="002F008D"/>
    <w:rsid w:val="002F1B1D"/>
    <w:rsid w:val="002F25F1"/>
    <w:rsid w:val="002F3360"/>
    <w:rsid w:val="002F3A88"/>
    <w:rsid w:val="002F45A9"/>
    <w:rsid w:val="002F6312"/>
    <w:rsid w:val="002F66E9"/>
    <w:rsid w:val="002F6A61"/>
    <w:rsid w:val="00300845"/>
    <w:rsid w:val="00303425"/>
    <w:rsid w:val="0030357E"/>
    <w:rsid w:val="00304043"/>
    <w:rsid w:val="0030752A"/>
    <w:rsid w:val="0031093F"/>
    <w:rsid w:val="003109B3"/>
    <w:rsid w:val="00314F81"/>
    <w:rsid w:val="00324DD1"/>
    <w:rsid w:val="003258A4"/>
    <w:rsid w:val="00325C8E"/>
    <w:rsid w:val="00325CD6"/>
    <w:rsid w:val="003265C7"/>
    <w:rsid w:val="00334914"/>
    <w:rsid w:val="00334F38"/>
    <w:rsid w:val="003361A8"/>
    <w:rsid w:val="00344B92"/>
    <w:rsid w:val="003454D7"/>
    <w:rsid w:val="00352A0C"/>
    <w:rsid w:val="00355727"/>
    <w:rsid w:val="0035625C"/>
    <w:rsid w:val="00357A24"/>
    <w:rsid w:val="003614CB"/>
    <w:rsid w:val="00362811"/>
    <w:rsid w:val="0036283B"/>
    <w:rsid w:val="00362BF7"/>
    <w:rsid w:val="0037010F"/>
    <w:rsid w:val="00373BE7"/>
    <w:rsid w:val="00373DE7"/>
    <w:rsid w:val="003744E8"/>
    <w:rsid w:val="00376F9C"/>
    <w:rsid w:val="00380094"/>
    <w:rsid w:val="00380E98"/>
    <w:rsid w:val="00397F85"/>
    <w:rsid w:val="003A2D7B"/>
    <w:rsid w:val="003A2E4B"/>
    <w:rsid w:val="003A58B8"/>
    <w:rsid w:val="003B183E"/>
    <w:rsid w:val="003B291B"/>
    <w:rsid w:val="003B3116"/>
    <w:rsid w:val="003C231B"/>
    <w:rsid w:val="003C2CC0"/>
    <w:rsid w:val="003C7BC8"/>
    <w:rsid w:val="003D2510"/>
    <w:rsid w:val="003D4A5A"/>
    <w:rsid w:val="003D65FD"/>
    <w:rsid w:val="003D733F"/>
    <w:rsid w:val="003E1873"/>
    <w:rsid w:val="003E2700"/>
    <w:rsid w:val="003E27C7"/>
    <w:rsid w:val="003E2FA6"/>
    <w:rsid w:val="003E34EB"/>
    <w:rsid w:val="003E44F2"/>
    <w:rsid w:val="003E5140"/>
    <w:rsid w:val="003E7A58"/>
    <w:rsid w:val="003F307A"/>
    <w:rsid w:val="003F437D"/>
    <w:rsid w:val="003F6C4B"/>
    <w:rsid w:val="00402471"/>
    <w:rsid w:val="00402A6E"/>
    <w:rsid w:val="00402FA9"/>
    <w:rsid w:val="00404DC4"/>
    <w:rsid w:val="004105BC"/>
    <w:rsid w:val="00410BC2"/>
    <w:rsid w:val="00412A0C"/>
    <w:rsid w:val="00415FC2"/>
    <w:rsid w:val="00421B32"/>
    <w:rsid w:val="00422082"/>
    <w:rsid w:val="0042213D"/>
    <w:rsid w:val="00423E88"/>
    <w:rsid w:val="004251F8"/>
    <w:rsid w:val="00425849"/>
    <w:rsid w:val="0042620F"/>
    <w:rsid w:val="00427DA4"/>
    <w:rsid w:val="004326E6"/>
    <w:rsid w:val="0043357A"/>
    <w:rsid w:val="004338BC"/>
    <w:rsid w:val="00433EDC"/>
    <w:rsid w:val="004365BA"/>
    <w:rsid w:val="00441C5D"/>
    <w:rsid w:val="004421D5"/>
    <w:rsid w:val="004422AC"/>
    <w:rsid w:val="004475D9"/>
    <w:rsid w:val="00453214"/>
    <w:rsid w:val="0045436F"/>
    <w:rsid w:val="004552A7"/>
    <w:rsid w:val="00457A68"/>
    <w:rsid w:val="00461B21"/>
    <w:rsid w:val="00463509"/>
    <w:rsid w:val="0046454F"/>
    <w:rsid w:val="004659B4"/>
    <w:rsid w:val="00467378"/>
    <w:rsid w:val="0047285C"/>
    <w:rsid w:val="00473804"/>
    <w:rsid w:val="00473FC7"/>
    <w:rsid w:val="004747D7"/>
    <w:rsid w:val="00474904"/>
    <w:rsid w:val="0047730F"/>
    <w:rsid w:val="0048278D"/>
    <w:rsid w:val="00482B4D"/>
    <w:rsid w:val="0048333D"/>
    <w:rsid w:val="00491795"/>
    <w:rsid w:val="00492C8C"/>
    <w:rsid w:val="0049453C"/>
    <w:rsid w:val="00494A3F"/>
    <w:rsid w:val="00495610"/>
    <w:rsid w:val="004975E4"/>
    <w:rsid w:val="004A01BF"/>
    <w:rsid w:val="004A065B"/>
    <w:rsid w:val="004A4C4E"/>
    <w:rsid w:val="004A5300"/>
    <w:rsid w:val="004B058E"/>
    <w:rsid w:val="004B20DC"/>
    <w:rsid w:val="004B3227"/>
    <w:rsid w:val="004B3382"/>
    <w:rsid w:val="004B4E6B"/>
    <w:rsid w:val="004B6648"/>
    <w:rsid w:val="004C4BFC"/>
    <w:rsid w:val="004C645D"/>
    <w:rsid w:val="004C6C72"/>
    <w:rsid w:val="004C7781"/>
    <w:rsid w:val="004D06A9"/>
    <w:rsid w:val="004D1EA7"/>
    <w:rsid w:val="004D53E8"/>
    <w:rsid w:val="004D6D7C"/>
    <w:rsid w:val="004E00FD"/>
    <w:rsid w:val="004E01D1"/>
    <w:rsid w:val="004E43B3"/>
    <w:rsid w:val="004E4F38"/>
    <w:rsid w:val="004E54E7"/>
    <w:rsid w:val="004E63DE"/>
    <w:rsid w:val="004F0F49"/>
    <w:rsid w:val="004F14FE"/>
    <w:rsid w:val="004F477E"/>
    <w:rsid w:val="004F6261"/>
    <w:rsid w:val="004F77AD"/>
    <w:rsid w:val="004F7BA2"/>
    <w:rsid w:val="005002C3"/>
    <w:rsid w:val="005079DC"/>
    <w:rsid w:val="005109B8"/>
    <w:rsid w:val="005109BE"/>
    <w:rsid w:val="00511618"/>
    <w:rsid w:val="00512BD8"/>
    <w:rsid w:val="005132A1"/>
    <w:rsid w:val="005141CA"/>
    <w:rsid w:val="005155DE"/>
    <w:rsid w:val="00520555"/>
    <w:rsid w:val="00524797"/>
    <w:rsid w:val="00531189"/>
    <w:rsid w:val="00536284"/>
    <w:rsid w:val="00540EED"/>
    <w:rsid w:val="00542450"/>
    <w:rsid w:val="005433A8"/>
    <w:rsid w:val="00545758"/>
    <w:rsid w:val="00545BA4"/>
    <w:rsid w:val="00550D53"/>
    <w:rsid w:val="00550E9B"/>
    <w:rsid w:val="00551CD3"/>
    <w:rsid w:val="00552B70"/>
    <w:rsid w:val="005600D1"/>
    <w:rsid w:val="00564177"/>
    <w:rsid w:val="00564A0C"/>
    <w:rsid w:val="005658B7"/>
    <w:rsid w:val="00566935"/>
    <w:rsid w:val="00567EA1"/>
    <w:rsid w:val="00570F92"/>
    <w:rsid w:val="00575B35"/>
    <w:rsid w:val="00576516"/>
    <w:rsid w:val="00576EF2"/>
    <w:rsid w:val="00577E0E"/>
    <w:rsid w:val="005805BF"/>
    <w:rsid w:val="00581ADB"/>
    <w:rsid w:val="00582FBB"/>
    <w:rsid w:val="00583A0D"/>
    <w:rsid w:val="00584D94"/>
    <w:rsid w:val="005861CA"/>
    <w:rsid w:val="00586A07"/>
    <w:rsid w:val="00591107"/>
    <w:rsid w:val="00595EC5"/>
    <w:rsid w:val="00596525"/>
    <w:rsid w:val="00597542"/>
    <w:rsid w:val="005A2326"/>
    <w:rsid w:val="005A313D"/>
    <w:rsid w:val="005A354D"/>
    <w:rsid w:val="005A38D5"/>
    <w:rsid w:val="005A430F"/>
    <w:rsid w:val="005A441D"/>
    <w:rsid w:val="005A6C7B"/>
    <w:rsid w:val="005A6E70"/>
    <w:rsid w:val="005B4864"/>
    <w:rsid w:val="005B50B8"/>
    <w:rsid w:val="005B6669"/>
    <w:rsid w:val="005C325C"/>
    <w:rsid w:val="005C70D3"/>
    <w:rsid w:val="005D7947"/>
    <w:rsid w:val="005E0584"/>
    <w:rsid w:val="005E6032"/>
    <w:rsid w:val="005F3405"/>
    <w:rsid w:val="005F4D22"/>
    <w:rsid w:val="005F6119"/>
    <w:rsid w:val="005F6202"/>
    <w:rsid w:val="005F788A"/>
    <w:rsid w:val="0060030F"/>
    <w:rsid w:val="006009F8"/>
    <w:rsid w:val="00600C6F"/>
    <w:rsid w:val="0060107D"/>
    <w:rsid w:val="006032CE"/>
    <w:rsid w:val="00603731"/>
    <w:rsid w:val="00606FD3"/>
    <w:rsid w:val="00607A29"/>
    <w:rsid w:val="006115C0"/>
    <w:rsid w:val="006128AB"/>
    <w:rsid w:val="00616B2F"/>
    <w:rsid w:val="0061741E"/>
    <w:rsid w:val="00620985"/>
    <w:rsid w:val="00625BC9"/>
    <w:rsid w:val="00631B39"/>
    <w:rsid w:val="00633E2E"/>
    <w:rsid w:val="00634F27"/>
    <w:rsid w:val="0063593F"/>
    <w:rsid w:val="006365D9"/>
    <w:rsid w:val="006406BD"/>
    <w:rsid w:val="00642140"/>
    <w:rsid w:val="006438D1"/>
    <w:rsid w:val="0064612E"/>
    <w:rsid w:val="00647709"/>
    <w:rsid w:val="00647E14"/>
    <w:rsid w:val="0065245E"/>
    <w:rsid w:val="00654261"/>
    <w:rsid w:val="00654D6F"/>
    <w:rsid w:val="00655EEF"/>
    <w:rsid w:val="00657603"/>
    <w:rsid w:val="00657D79"/>
    <w:rsid w:val="006606E0"/>
    <w:rsid w:val="006608B1"/>
    <w:rsid w:val="00660E45"/>
    <w:rsid w:val="00660EE7"/>
    <w:rsid w:val="00661BDC"/>
    <w:rsid w:val="00661C66"/>
    <w:rsid w:val="0066512E"/>
    <w:rsid w:val="00666043"/>
    <w:rsid w:val="00666225"/>
    <w:rsid w:val="006712C5"/>
    <w:rsid w:val="00673C9C"/>
    <w:rsid w:val="00675BC8"/>
    <w:rsid w:val="006807BA"/>
    <w:rsid w:val="0068770B"/>
    <w:rsid w:val="0069242D"/>
    <w:rsid w:val="006942FB"/>
    <w:rsid w:val="00697BD3"/>
    <w:rsid w:val="006A073A"/>
    <w:rsid w:val="006A30D5"/>
    <w:rsid w:val="006A4787"/>
    <w:rsid w:val="006A6015"/>
    <w:rsid w:val="006A67E3"/>
    <w:rsid w:val="006A6BF0"/>
    <w:rsid w:val="006A6EA2"/>
    <w:rsid w:val="006B1B8B"/>
    <w:rsid w:val="006B538E"/>
    <w:rsid w:val="006B55B1"/>
    <w:rsid w:val="006C004D"/>
    <w:rsid w:val="006C2412"/>
    <w:rsid w:val="006C24E3"/>
    <w:rsid w:val="006C30E2"/>
    <w:rsid w:val="006C48A3"/>
    <w:rsid w:val="006C5596"/>
    <w:rsid w:val="006C6633"/>
    <w:rsid w:val="006D0228"/>
    <w:rsid w:val="006D04FA"/>
    <w:rsid w:val="006D2FDA"/>
    <w:rsid w:val="006E06DE"/>
    <w:rsid w:val="006E3BAE"/>
    <w:rsid w:val="006E625E"/>
    <w:rsid w:val="006F0587"/>
    <w:rsid w:val="006F1B7E"/>
    <w:rsid w:val="006F51F9"/>
    <w:rsid w:val="00703F9F"/>
    <w:rsid w:val="007048BE"/>
    <w:rsid w:val="0071273A"/>
    <w:rsid w:val="00714354"/>
    <w:rsid w:val="00717365"/>
    <w:rsid w:val="00720ECE"/>
    <w:rsid w:val="00723301"/>
    <w:rsid w:val="00723B12"/>
    <w:rsid w:val="00726EF4"/>
    <w:rsid w:val="00727F28"/>
    <w:rsid w:val="00734230"/>
    <w:rsid w:val="0073436A"/>
    <w:rsid w:val="00737136"/>
    <w:rsid w:val="007456B3"/>
    <w:rsid w:val="00750640"/>
    <w:rsid w:val="00752844"/>
    <w:rsid w:val="0075602D"/>
    <w:rsid w:val="00760AD2"/>
    <w:rsid w:val="007641D7"/>
    <w:rsid w:val="00764697"/>
    <w:rsid w:val="00764CED"/>
    <w:rsid w:val="00770A6F"/>
    <w:rsid w:val="00772D4B"/>
    <w:rsid w:val="007777C3"/>
    <w:rsid w:val="00781706"/>
    <w:rsid w:val="0078226A"/>
    <w:rsid w:val="007848CD"/>
    <w:rsid w:val="007864A6"/>
    <w:rsid w:val="007901FD"/>
    <w:rsid w:val="007955EA"/>
    <w:rsid w:val="00795E67"/>
    <w:rsid w:val="0079762F"/>
    <w:rsid w:val="007A036E"/>
    <w:rsid w:val="007A156C"/>
    <w:rsid w:val="007A4DA4"/>
    <w:rsid w:val="007A4F9C"/>
    <w:rsid w:val="007B2A05"/>
    <w:rsid w:val="007B478D"/>
    <w:rsid w:val="007B6099"/>
    <w:rsid w:val="007B613E"/>
    <w:rsid w:val="007C56ED"/>
    <w:rsid w:val="007D14DA"/>
    <w:rsid w:val="007D1D19"/>
    <w:rsid w:val="007D4667"/>
    <w:rsid w:val="007D4D86"/>
    <w:rsid w:val="007D4F0C"/>
    <w:rsid w:val="007E02BD"/>
    <w:rsid w:val="007E3D24"/>
    <w:rsid w:val="007E4EB8"/>
    <w:rsid w:val="007F0779"/>
    <w:rsid w:val="007F2F68"/>
    <w:rsid w:val="007F692F"/>
    <w:rsid w:val="0080284D"/>
    <w:rsid w:val="0080293E"/>
    <w:rsid w:val="00804013"/>
    <w:rsid w:val="00806F2F"/>
    <w:rsid w:val="00807122"/>
    <w:rsid w:val="00811449"/>
    <w:rsid w:val="008125B8"/>
    <w:rsid w:val="008218B8"/>
    <w:rsid w:val="008221DD"/>
    <w:rsid w:val="00823E68"/>
    <w:rsid w:val="00825D42"/>
    <w:rsid w:val="0082612F"/>
    <w:rsid w:val="0083086D"/>
    <w:rsid w:val="00831579"/>
    <w:rsid w:val="00832F39"/>
    <w:rsid w:val="00834DB8"/>
    <w:rsid w:val="008376EA"/>
    <w:rsid w:val="00837E82"/>
    <w:rsid w:val="00840F7A"/>
    <w:rsid w:val="00847E13"/>
    <w:rsid w:val="00852B4B"/>
    <w:rsid w:val="00854EE1"/>
    <w:rsid w:val="00856886"/>
    <w:rsid w:val="00863167"/>
    <w:rsid w:val="008631A2"/>
    <w:rsid w:val="00864891"/>
    <w:rsid w:val="0087030A"/>
    <w:rsid w:val="00874016"/>
    <w:rsid w:val="008749E4"/>
    <w:rsid w:val="00875B51"/>
    <w:rsid w:val="0087652D"/>
    <w:rsid w:val="0088139A"/>
    <w:rsid w:val="008864ED"/>
    <w:rsid w:val="00891E3C"/>
    <w:rsid w:val="0089441E"/>
    <w:rsid w:val="00897B7C"/>
    <w:rsid w:val="008A1942"/>
    <w:rsid w:val="008A463B"/>
    <w:rsid w:val="008B0BD8"/>
    <w:rsid w:val="008B66EC"/>
    <w:rsid w:val="008C11EF"/>
    <w:rsid w:val="008C37EA"/>
    <w:rsid w:val="008C491D"/>
    <w:rsid w:val="008C5712"/>
    <w:rsid w:val="008C6E0A"/>
    <w:rsid w:val="008D5A49"/>
    <w:rsid w:val="008D7AE2"/>
    <w:rsid w:val="008E4D49"/>
    <w:rsid w:val="008E7EBE"/>
    <w:rsid w:val="008F2172"/>
    <w:rsid w:val="008F449F"/>
    <w:rsid w:val="008F4F31"/>
    <w:rsid w:val="008F711E"/>
    <w:rsid w:val="008F766A"/>
    <w:rsid w:val="009048C2"/>
    <w:rsid w:val="00905388"/>
    <w:rsid w:val="00906FF9"/>
    <w:rsid w:val="00907B3F"/>
    <w:rsid w:val="00907D71"/>
    <w:rsid w:val="009117D3"/>
    <w:rsid w:val="00913292"/>
    <w:rsid w:val="00914341"/>
    <w:rsid w:val="00914E92"/>
    <w:rsid w:val="00915B55"/>
    <w:rsid w:val="00920DCE"/>
    <w:rsid w:val="00921B87"/>
    <w:rsid w:val="00923933"/>
    <w:rsid w:val="009255B1"/>
    <w:rsid w:val="00925768"/>
    <w:rsid w:val="00927E2E"/>
    <w:rsid w:val="00930C1C"/>
    <w:rsid w:val="00930CFA"/>
    <w:rsid w:val="00935D58"/>
    <w:rsid w:val="00941203"/>
    <w:rsid w:val="009421B4"/>
    <w:rsid w:val="00943235"/>
    <w:rsid w:val="0094360C"/>
    <w:rsid w:val="00960E05"/>
    <w:rsid w:val="00961814"/>
    <w:rsid w:val="00961B0A"/>
    <w:rsid w:val="009620A8"/>
    <w:rsid w:val="0096452D"/>
    <w:rsid w:val="009652D2"/>
    <w:rsid w:val="00965D16"/>
    <w:rsid w:val="00974419"/>
    <w:rsid w:val="009825A1"/>
    <w:rsid w:val="009827F5"/>
    <w:rsid w:val="00982BA6"/>
    <w:rsid w:val="00990076"/>
    <w:rsid w:val="00993C19"/>
    <w:rsid w:val="009961EB"/>
    <w:rsid w:val="009A2F8C"/>
    <w:rsid w:val="009A3C89"/>
    <w:rsid w:val="009B1F6A"/>
    <w:rsid w:val="009B2D92"/>
    <w:rsid w:val="009B487D"/>
    <w:rsid w:val="009C0179"/>
    <w:rsid w:val="009C2544"/>
    <w:rsid w:val="009D0973"/>
    <w:rsid w:val="009D2B93"/>
    <w:rsid w:val="009D378C"/>
    <w:rsid w:val="009E6262"/>
    <w:rsid w:val="009F166A"/>
    <w:rsid w:val="009F2A6F"/>
    <w:rsid w:val="009F4A67"/>
    <w:rsid w:val="009F68C7"/>
    <w:rsid w:val="009F7CC7"/>
    <w:rsid w:val="00A0379A"/>
    <w:rsid w:val="00A07001"/>
    <w:rsid w:val="00A1149A"/>
    <w:rsid w:val="00A13281"/>
    <w:rsid w:val="00A17698"/>
    <w:rsid w:val="00A20F44"/>
    <w:rsid w:val="00A22186"/>
    <w:rsid w:val="00A25673"/>
    <w:rsid w:val="00A26193"/>
    <w:rsid w:val="00A3120B"/>
    <w:rsid w:val="00A3461B"/>
    <w:rsid w:val="00A35A4A"/>
    <w:rsid w:val="00A3750D"/>
    <w:rsid w:val="00A4221D"/>
    <w:rsid w:val="00A43EFA"/>
    <w:rsid w:val="00A45B10"/>
    <w:rsid w:val="00A477BB"/>
    <w:rsid w:val="00A47D0B"/>
    <w:rsid w:val="00A51C3E"/>
    <w:rsid w:val="00A520C3"/>
    <w:rsid w:val="00A53A3A"/>
    <w:rsid w:val="00A60C55"/>
    <w:rsid w:val="00A65D74"/>
    <w:rsid w:val="00A65E6E"/>
    <w:rsid w:val="00A70DD2"/>
    <w:rsid w:val="00A722C2"/>
    <w:rsid w:val="00A75047"/>
    <w:rsid w:val="00A75B37"/>
    <w:rsid w:val="00A77E0F"/>
    <w:rsid w:val="00A80196"/>
    <w:rsid w:val="00A80927"/>
    <w:rsid w:val="00A815FD"/>
    <w:rsid w:val="00A84AA7"/>
    <w:rsid w:val="00A87E52"/>
    <w:rsid w:val="00A90668"/>
    <w:rsid w:val="00A90E4E"/>
    <w:rsid w:val="00A969A6"/>
    <w:rsid w:val="00AA6078"/>
    <w:rsid w:val="00AA6DC6"/>
    <w:rsid w:val="00AA73CA"/>
    <w:rsid w:val="00AB2A32"/>
    <w:rsid w:val="00AC356C"/>
    <w:rsid w:val="00AC4F44"/>
    <w:rsid w:val="00AD3D1D"/>
    <w:rsid w:val="00AD419C"/>
    <w:rsid w:val="00AD462F"/>
    <w:rsid w:val="00AE0158"/>
    <w:rsid w:val="00AE0658"/>
    <w:rsid w:val="00AE1B04"/>
    <w:rsid w:val="00AF2D13"/>
    <w:rsid w:val="00AF413E"/>
    <w:rsid w:val="00AF48A1"/>
    <w:rsid w:val="00AF68B4"/>
    <w:rsid w:val="00B00BF4"/>
    <w:rsid w:val="00B02CA2"/>
    <w:rsid w:val="00B04F57"/>
    <w:rsid w:val="00B113C6"/>
    <w:rsid w:val="00B209F5"/>
    <w:rsid w:val="00B22AAE"/>
    <w:rsid w:val="00B26B50"/>
    <w:rsid w:val="00B30DE2"/>
    <w:rsid w:val="00B370DC"/>
    <w:rsid w:val="00B37FF3"/>
    <w:rsid w:val="00B41932"/>
    <w:rsid w:val="00B41D88"/>
    <w:rsid w:val="00B43E26"/>
    <w:rsid w:val="00B45399"/>
    <w:rsid w:val="00B47274"/>
    <w:rsid w:val="00B514AA"/>
    <w:rsid w:val="00B515E5"/>
    <w:rsid w:val="00B5194C"/>
    <w:rsid w:val="00B543A2"/>
    <w:rsid w:val="00B56B73"/>
    <w:rsid w:val="00B63F7C"/>
    <w:rsid w:val="00B661FC"/>
    <w:rsid w:val="00B673B5"/>
    <w:rsid w:val="00B67E09"/>
    <w:rsid w:val="00B71218"/>
    <w:rsid w:val="00B734DF"/>
    <w:rsid w:val="00B80C50"/>
    <w:rsid w:val="00B817CF"/>
    <w:rsid w:val="00B83026"/>
    <w:rsid w:val="00B833F2"/>
    <w:rsid w:val="00B835FC"/>
    <w:rsid w:val="00B84E5C"/>
    <w:rsid w:val="00B91A93"/>
    <w:rsid w:val="00B93C58"/>
    <w:rsid w:val="00BA0567"/>
    <w:rsid w:val="00BA1B39"/>
    <w:rsid w:val="00BA2509"/>
    <w:rsid w:val="00BA34C6"/>
    <w:rsid w:val="00BA6C86"/>
    <w:rsid w:val="00BB05E4"/>
    <w:rsid w:val="00BB0BAA"/>
    <w:rsid w:val="00BB2503"/>
    <w:rsid w:val="00BB357F"/>
    <w:rsid w:val="00BB72F4"/>
    <w:rsid w:val="00BC2F6A"/>
    <w:rsid w:val="00BC6F9D"/>
    <w:rsid w:val="00BD47D7"/>
    <w:rsid w:val="00BD70E2"/>
    <w:rsid w:val="00BE1191"/>
    <w:rsid w:val="00BE60EF"/>
    <w:rsid w:val="00BE730E"/>
    <w:rsid w:val="00BF59FE"/>
    <w:rsid w:val="00BF6D94"/>
    <w:rsid w:val="00C023B3"/>
    <w:rsid w:val="00C02743"/>
    <w:rsid w:val="00C03B92"/>
    <w:rsid w:val="00C11F5D"/>
    <w:rsid w:val="00C15346"/>
    <w:rsid w:val="00C15F3E"/>
    <w:rsid w:val="00C21C0E"/>
    <w:rsid w:val="00C244B9"/>
    <w:rsid w:val="00C2797D"/>
    <w:rsid w:val="00C3450F"/>
    <w:rsid w:val="00C34548"/>
    <w:rsid w:val="00C446B1"/>
    <w:rsid w:val="00C44B10"/>
    <w:rsid w:val="00C45521"/>
    <w:rsid w:val="00C47319"/>
    <w:rsid w:val="00C535BF"/>
    <w:rsid w:val="00C53897"/>
    <w:rsid w:val="00C53A86"/>
    <w:rsid w:val="00C53CAE"/>
    <w:rsid w:val="00C551AC"/>
    <w:rsid w:val="00C56F3D"/>
    <w:rsid w:val="00C60927"/>
    <w:rsid w:val="00C6521A"/>
    <w:rsid w:val="00C71A64"/>
    <w:rsid w:val="00C72BEE"/>
    <w:rsid w:val="00C742C3"/>
    <w:rsid w:val="00C7658E"/>
    <w:rsid w:val="00C76874"/>
    <w:rsid w:val="00C849FA"/>
    <w:rsid w:val="00C84AF0"/>
    <w:rsid w:val="00C84FFF"/>
    <w:rsid w:val="00C85761"/>
    <w:rsid w:val="00C87EDC"/>
    <w:rsid w:val="00C910B2"/>
    <w:rsid w:val="00C912D9"/>
    <w:rsid w:val="00C916AA"/>
    <w:rsid w:val="00C97F86"/>
    <w:rsid w:val="00CA4675"/>
    <w:rsid w:val="00CA7E68"/>
    <w:rsid w:val="00CB07FD"/>
    <w:rsid w:val="00CB7957"/>
    <w:rsid w:val="00CC0BB5"/>
    <w:rsid w:val="00CC4567"/>
    <w:rsid w:val="00CC6A0F"/>
    <w:rsid w:val="00CD0F5F"/>
    <w:rsid w:val="00CD1027"/>
    <w:rsid w:val="00CD2FC4"/>
    <w:rsid w:val="00CE391A"/>
    <w:rsid w:val="00CE6A1E"/>
    <w:rsid w:val="00CF0269"/>
    <w:rsid w:val="00D0401F"/>
    <w:rsid w:val="00D13C69"/>
    <w:rsid w:val="00D156F2"/>
    <w:rsid w:val="00D20164"/>
    <w:rsid w:val="00D202D1"/>
    <w:rsid w:val="00D219B1"/>
    <w:rsid w:val="00D227EA"/>
    <w:rsid w:val="00D232B1"/>
    <w:rsid w:val="00D23A74"/>
    <w:rsid w:val="00D23AA6"/>
    <w:rsid w:val="00D41146"/>
    <w:rsid w:val="00D413D3"/>
    <w:rsid w:val="00D416E1"/>
    <w:rsid w:val="00D437CC"/>
    <w:rsid w:val="00D45118"/>
    <w:rsid w:val="00D50F19"/>
    <w:rsid w:val="00D55EBA"/>
    <w:rsid w:val="00D5618E"/>
    <w:rsid w:val="00D56559"/>
    <w:rsid w:val="00D57B8E"/>
    <w:rsid w:val="00D57BFA"/>
    <w:rsid w:val="00D63726"/>
    <w:rsid w:val="00D7371E"/>
    <w:rsid w:val="00D76B25"/>
    <w:rsid w:val="00D8073B"/>
    <w:rsid w:val="00D85B34"/>
    <w:rsid w:val="00D85E71"/>
    <w:rsid w:val="00D909E5"/>
    <w:rsid w:val="00D913B6"/>
    <w:rsid w:val="00D92BB9"/>
    <w:rsid w:val="00D92C98"/>
    <w:rsid w:val="00D9581D"/>
    <w:rsid w:val="00D96CC3"/>
    <w:rsid w:val="00D96DF3"/>
    <w:rsid w:val="00DA0B8F"/>
    <w:rsid w:val="00DA1A42"/>
    <w:rsid w:val="00DA2DBF"/>
    <w:rsid w:val="00DA5C5A"/>
    <w:rsid w:val="00DB3005"/>
    <w:rsid w:val="00DB3A18"/>
    <w:rsid w:val="00DB3D4B"/>
    <w:rsid w:val="00DB50A4"/>
    <w:rsid w:val="00DC00AC"/>
    <w:rsid w:val="00DC2B86"/>
    <w:rsid w:val="00DC602C"/>
    <w:rsid w:val="00DC78C4"/>
    <w:rsid w:val="00DD7841"/>
    <w:rsid w:val="00DE7A28"/>
    <w:rsid w:val="00DE7A42"/>
    <w:rsid w:val="00DE7C33"/>
    <w:rsid w:val="00DF2277"/>
    <w:rsid w:val="00DF33D5"/>
    <w:rsid w:val="00DF6927"/>
    <w:rsid w:val="00E045B3"/>
    <w:rsid w:val="00E05194"/>
    <w:rsid w:val="00E05C40"/>
    <w:rsid w:val="00E07F9F"/>
    <w:rsid w:val="00E12E29"/>
    <w:rsid w:val="00E205D2"/>
    <w:rsid w:val="00E22B66"/>
    <w:rsid w:val="00E235A2"/>
    <w:rsid w:val="00E244BD"/>
    <w:rsid w:val="00E26E20"/>
    <w:rsid w:val="00E31EE1"/>
    <w:rsid w:val="00E32F6F"/>
    <w:rsid w:val="00E331A1"/>
    <w:rsid w:val="00E36C1F"/>
    <w:rsid w:val="00E401C0"/>
    <w:rsid w:val="00E42253"/>
    <w:rsid w:val="00E44FDD"/>
    <w:rsid w:val="00E45117"/>
    <w:rsid w:val="00E454C2"/>
    <w:rsid w:val="00E45798"/>
    <w:rsid w:val="00E465C1"/>
    <w:rsid w:val="00E46D60"/>
    <w:rsid w:val="00E5743F"/>
    <w:rsid w:val="00E60EDE"/>
    <w:rsid w:val="00E61BAB"/>
    <w:rsid w:val="00E654F5"/>
    <w:rsid w:val="00E70A9C"/>
    <w:rsid w:val="00E70DC0"/>
    <w:rsid w:val="00E866CD"/>
    <w:rsid w:val="00E90928"/>
    <w:rsid w:val="00E9201F"/>
    <w:rsid w:val="00E93258"/>
    <w:rsid w:val="00E9628F"/>
    <w:rsid w:val="00E974D5"/>
    <w:rsid w:val="00EB1BB4"/>
    <w:rsid w:val="00EB5DBF"/>
    <w:rsid w:val="00EB652C"/>
    <w:rsid w:val="00EB6656"/>
    <w:rsid w:val="00EC031C"/>
    <w:rsid w:val="00EC235C"/>
    <w:rsid w:val="00EC2B0E"/>
    <w:rsid w:val="00EC599E"/>
    <w:rsid w:val="00ED03AD"/>
    <w:rsid w:val="00ED7BA9"/>
    <w:rsid w:val="00EE0567"/>
    <w:rsid w:val="00EE0D11"/>
    <w:rsid w:val="00EE200D"/>
    <w:rsid w:val="00EE2D1C"/>
    <w:rsid w:val="00EE60E3"/>
    <w:rsid w:val="00EF0414"/>
    <w:rsid w:val="00EF5C1B"/>
    <w:rsid w:val="00EF5F30"/>
    <w:rsid w:val="00EF6072"/>
    <w:rsid w:val="00F0451C"/>
    <w:rsid w:val="00F10D90"/>
    <w:rsid w:val="00F1612A"/>
    <w:rsid w:val="00F2449A"/>
    <w:rsid w:val="00F27041"/>
    <w:rsid w:val="00F306C6"/>
    <w:rsid w:val="00F30E11"/>
    <w:rsid w:val="00F31C66"/>
    <w:rsid w:val="00F33FE4"/>
    <w:rsid w:val="00F3405E"/>
    <w:rsid w:val="00F34EB5"/>
    <w:rsid w:val="00F43137"/>
    <w:rsid w:val="00F44194"/>
    <w:rsid w:val="00F44918"/>
    <w:rsid w:val="00F456B9"/>
    <w:rsid w:val="00F4690A"/>
    <w:rsid w:val="00F47A4A"/>
    <w:rsid w:val="00F53FC4"/>
    <w:rsid w:val="00F54D6E"/>
    <w:rsid w:val="00F5690D"/>
    <w:rsid w:val="00F60E05"/>
    <w:rsid w:val="00F61767"/>
    <w:rsid w:val="00F62BC6"/>
    <w:rsid w:val="00F70CF7"/>
    <w:rsid w:val="00F8059C"/>
    <w:rsid w:val="00F84012"/>
    <w:rsid w:val="00F86792"/>
    <w:rsid w:val="00F8680D"/>
    <w:rsid w:val="00F87130"/>
    <w:rsid w:val="00F87729"/>
    <w:rsid w:val="00F87D76"/>
    <w:rsid w:val="00F90713"/>
    <w:rsid w:val="00F91A99"/>
    <w:rsid w:val="00F93AC6"/>
    <w:rsid w:val="00F961E2"/>
    <w:rsid w:val="00FA130C"/>
    <w:rsid w:val="00FA24C4"/>
    <w:rsid w:val="00FA2519"/>
    <w:rsid w:val="00FA2AE8"/>
    <w:rsid w:val="00FA3406"/>
    <w:rsid w:val="00FA4C98"/>
    <w:rsid w:val="00FA7579"/>
    <w:rsid w:val="00FB0078"/>
    <w:rsid w:val="00FC0FAF"/>
    <w:rsid w:val="00FC1778"/>
    <w:rsid w:val="00FC28B7"/>
    <w:rsid w:val="00FC29F1"/>
    <w:rsid w:val="00FD19BC"/>
    <w:rsid w:val="00FD1D0F"/>
    <w:rsid w:val="00FD5E42"/>
    <w:rsid w:val="00FD6155"/>
    <w:rsid w:val="00FD6DD9"/>
    <w:rsid w:val="00FD791A"/>
    <w:rsid w:val="00FE156D"/>
    <w:rsid w:val="00FE3CD2"/>
    <w:rsid w:val="00FE4076"/>
    <w:rsid w:val="00FE4598"/>
    <w:rsid w:val="00FE4D67"/>
    <w:rsid w:val="00FE710B"/>
    <w:rsid w:val="00FE7ADE"/>
    <w:rsid w:val="00FF1ACE"/>
    <w:rsid w:val="00FF204A"/>
    <w:rsid w:val="00FF513C"/>
    <w:rsid w:val="00FF523E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48BD9C"/>
  <w15:chartTrackingRefBased/>
  <w15:docId w15:val="{247F5E66-6E88-42EE-BFCD-5C3AF9B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1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uiPriority w:val="99"/>
    <w:rsid w:val="00911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rsid w:val="000417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15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515E5"/>
  </w:style>
  <w:style w:type="paragraph" w:styleId="PlainText">
    <w:name w:val="Plain Text"/>
    <w:link w:val="PlainTextChar"/>
    <w:rsid w:val="000A7B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link w:val="PlainText"/>
    <w:rsid w:val="000A7BAF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1" ma:contentTypeDescription="Create a new document." ma:contentTypeScope="" ma:versionID="b339a35496b3197413a980a7c2e2927a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1a06d3732386582bde2667dba6ad719b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A10CC-0155-44B2-8F94-4B1A82921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72513-D032-4D03-A3A1-6698DD7938A1}"/>
</file>

<file path=customXml/itemProps3.xml><?xml version="1.0" encoding="utf-8"?>
<ds:datastoreItem xmlns:ds="http://schemas.openxmlformats.org/officeDocument/2006/customXml" ds:itemID="{93BCF148-E89F-479D-BE93-BC33A43A8AC8}"/>
</file>

<file path=customXml/itemProps4.xml><?xml version="1.0" encoding="utf-8"?>
<ds:datastoreItem xmlns:ds="http://schemas.openxmlformats.org/officeDocument/2006/customXml" ds:itemID="{B327B00A-D9DB-45F8-B6EF-EDA6F6EF3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1498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STIRLING</vt:lpstr>
    </vt:vector>
  </TitlesOfParts>
  <Company>University of Stirling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dc:description/>
  <cp:lastModifiedBy>Erica Hensens</cp:lastModifiedBy>
  <cp:revision>2</cp:revision>
  <cp:lastPrinted>2017-06-07T09:23:00Z</cp:lastPrinted>
  <dcterms:created xsi:type="dcterms:W3CDTF">2018-11-19T09:28:00Z</dcterms:created>
  <dcterms:modified xsi:type="dcterms:W3CDTF">2018-11-19T09:28:00Z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