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4105" w14:textId="77777777" w:rsidR="00090775" w:rsidRPr="00090775" w:rsidRDefault="00090775" w:rsidP="00090775">
      <w:pPr>
        <w:pStyle w:val="Title"/>
        <w:rPr>
          <w:color w:val="833C0B" w:themeColor="accent2" w:themeShade="80"/>
          <w14:shadow w14:blurRad="50800" w14:dist="38100" w14:dir="2700000" w14:sx="100000" w14:sy="100000" w14:kx="0" w14:ky="0" w14:algn="tl">
            <w14:srgbClr w14:val="000000">
              <w14:alpha w14:val="60000"/>
            </w14:srgbClr>
          </w14:shadow>
        </w:rPr>
      </w:pPr>
      <w:bookmarkStart w:id="0" w:name="_Toc526405508"/>
      <w:r w:rsidRPr="00090775">
        <w:rPr>
          <w:color w:val="833C0B" w:themeColor="accent2" w:themeShade="80"/>
          <w14:shadow w14:blurRad="50800" w14:dist="38100" w14:dir="2700000" w14:sx="100000" w14:sy="100000" w14:kx="0" w14:ky="0" w14:algn="tl">
            <w14:srgbClr w14:val="000000">
              <w14:alpha w14:val="60000"/>
            </w14:srgbClr>
          </w14:shadow>
        </w:rPr>
        <w:t>Permanently Progressing?</w:t>
      </w:r>
    </w:p>
    <w:p w14:paraId="5BE02F50" w14:textId="77777777" w:rsidR="00090775" w:rsidRPr="00090775" w:rsidRDefault="00090775" w:rsidP="000F44BA">
      <w:pPr>
        <w:pStyle w:val="Subtitle"/>
        <w:spacing w:after="0"/>
        <w:rPr>
          <w:color w:val="833C0B" w:themeColor="accent2" w:themeShade="80"/>
          <w14:shadow w14:blurRad="50800" w14:dist="38100" w14:dir="2700000" w14:sx="100000" w14:sy="100000" w14:kx="0" w14:ky="0" w14:algn="tl">
            <w14:srgbClr w14:val="000000">
              <w14:alpha w14:val="60000"/>
            </w14:srgbClr>
          </w14:shadow>
        </w:rPr>
      </w:pPr>
      <w:r w:rsidRPr="00090775">
        <w:rPr>
          <w:color w:val="833C0B" w:themeColor="accent2" w:themeShade="80"/>
          <w14:shadow w14:blurRad="50800" w14:dist="38100" w14:dir="2700000" w14:sx="100000" w14:sy="100000" w14:kx="0" w14:ky="0" w14:algn="tl">
            <w14:srgbClr w14:val="000000">
              <w14:alpha w14:val="60000"/>
            </w14:srgbClr>
          </w14:shadow>
        </w:rPr>
        <w:t>Building secure futures for children in Scotland</w:t>
      </w:r>
    </w:p>
    <w:p w14:paraId="450CD543" w14:textId="02BBD8A4" w:rsidR="00944A86" w:rsidRPr="00F77CEC" w:rsidRDefault="00944A86" w:rsidP="000F44BA">
      <w:pPr>
        <w:pStyle w:val="Heading1"/>
        <w:spacing w:before="240" w:after="0"/>
        <w:jc w:val="center"/>
        <w:rPr>
          <w:b/>
          <w:color w:val="auto"/>
          <w:sz w:val="48"/>
          <w:szCs w:val="48"/>
        </w:rPr>
      </w:pPr>
      <w:r w:rsidRPr="00F77CEC">
        <w:rPr>
          <w:b/>
          <w:color w:val="auto"/>
          <w:sz w:val="48"/>
          <w:szCs w:val="48"/>
        </w:rPr>
        <w:t>Pathways to Permanence for children who become looked after in Scotland</w:t>
      </w:r>
    </w:p>
    <w:p w14:paraId="185E4FAC" w14:textId="19C5CF47" w:rsidR="00944A86" w:rsidRDefault="00944A86" w:rsidP="00944A86">
      <w:pPr>
        <w:pStyle w:val="Centrehead"/>
      </w:pPr>
      <w:r>
        <w:t xml:space="preserve">Nina </w:t>
      </w:r>
      <w:proofErr w:type="spellStart"/>
      <w:r>
        <w:t>Biehal</w:t>
      </w:r>
      <w:proofErr w:type="spellEnd"/>
      <w:r>
        <w:t xml:space="preserve">, Linda Cusworth, Jade Hooper, </w:t>
      </w:r>
      <w:r>
        <w:br/>
        <w:t>Helen Whincup, Marina Shapira</w:t>
      </w:r>
    </w:p>
    <w:p w14:paraId="7DD434F2" w14:textId="54AD8579" w:rsidR="00944A86" w:rsidRDefault="00090775" w:rsidP="00944A86">
      <w:pPr>
        <w:pStyle w:val="Centrehead"/>
      </w:pPr>
      <w:r>
        <w:rPr>
          <w:noProof/>
        </w:rPr>
        <mc:AlternateContent>
          <mc:Choice Requires="wps">
            <w:drawing>
              <wp:anchor distT="0" distB="0" distL="114300" distR="114300" simplePos="0" relativeHeight="251677696" behindDoc="1" locked="0" layoutInCell="1" allowOverlap="1" wp14:anchorId="4082C5AC" wp14:editId="6D633EDE">
                <wp:simplePos x="0" y="0"/>
                <wp:positionH relativeFrom="margin">
                  <wp:posOffset>29210</wp:posOffset>
                </wp:positionH>
                <wp:positionV relativeFrom="margin">
                  <wp:posOffset>2108835</wp:posOffset>
                </wp:positionV>
                <wp:extent cx="5831840" cy="7362825"/>
                <wp:effectExtent l="0" t="0" r="16510"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1840" cy="7362825"/>
                        </a:xfrm>
                        <a:prstGeom prst="rect">
                          <a:avLst/>
                        </a:prstGeom>
                        <a:solidFill>
                          <a:srgbClr val="FFCCCC"/>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69F62" id="Rectangle 19" o:spid="_x0000_s1026" alt="&quot;&quot;" style="position:absolute;margin-left:2.3pt;margin-top:166.05pt;width:459.2pt;height:579.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" fillcolor="#fcc" strokecolor="#c00000" strokeweight="1pt">
                <w10:wrap anchorx="margin" anchory="margin"/>
              </v:rect>
            </w:pict>
          </mc:Fallback>
        </mc:AlternateContent>
      </w:r>
      <w:r w:rsidR="00944A86">
        <w:t>Key messages</w:t>
      </w:r>
    </w:p>
    <w:p w14:paraId="75233546" w14:textId="62AC464C"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 xml:space="preserve">In Scotland, 1,836 children aged five and under became looked after in 2012-13. Of those children, 1,355 were looked after away from home and 481 were looked after at home. This study follows their pathways for </w:t>
      </w:r>
      <w:r w:rsidR="00CE25C0" w:rsidRPr="002A5BE8">
        <w:rPr>
          <w:sz w:val="22"/>
        </w:rPr>
        <w:t>four</w:t>
      </w:r>
      <w:r w:rsidRPr="002A5BE8">
        <w:rPr>
          <w:sz w:val="22"/>
        </w:rPr>
        <w:t xml:space="preserve"> years from 2012 to 2016.</w:t>
      </w:r>
    </w:p>
    <w:p w14:paraId="62BFBCAF" w14:textId="582FAF6D"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There was a statistically significant association between levels of deprivation and local rates of children looked after. Local rates may also reflect variations in the approaches of local authorities, Children’s Hearings and the local judiciary.</w:t>
      </w:r>
    </w:p>
    <w:p w14:paraId="70B661F5" w14:textId="3E42A715"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For almost half of children looked after away from home, this was initially under Section 25 Children (Scotland) Act 1995.</w:t>
      </w:r>
    </w:p>
    <w:p w14:paraId="1FD8F2C9" w14:textId="73694882"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The majority of the children (87%) had a single continuous ‘episode’ of being looked after during the four-year period, however, an episode may include periods spent looked after at home and/or being looked after away from home. Moreover, as an episode may include placements moves, a ‘single episode’ does not necessarily mean the child experienced stability.</w:t>
      </w:r>
    </w:p>
    <w:p w14:paraId="60E6C962" w14:textId="069BA96F"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The most common destination for children who had ceased to be looked after away from home was a return home. Nearly one</w:t>
      </w:r>
      <w:r w:rsidR="00872051" w:rsidRPr="002A5BE8">
        <w:rPr>
          <w:sz w:val="22"/>
        </w:rPr>
        <w:t xml:space="preserve"> </w:t>
      </w:r>
      <w:r w:rsidRPr="002A5BE8">
        <w:rPr>
          <w:sz w:val="22"/>
        </w:rPr>
        <w:t>third of children looked after away from home returned to parents by the end of the study, 26% had ceased to be looked after and 5% were living at home on a Compulsory Supervision Order (CSO).</w:t>
      </w:r>
      <w:r w:rsidR="00872051" w:rsidRPr="002A5BE8">
        <w:rPr>
          <w:sz w:val="22"/>
        </w:rPr>
        <w:t xml:space="preserve"> </w:t>
      </w:r>
      <w:r w:rsidRPr="002A5BE8">
        <w:rPr>
          <w:sz w:val="22"/>
        </w:rPr>
        <w:t xml:space="preserve">Among children who were reunified with parents, the </w:t>
      </w:r>
      <w:r w:rsidR="00C72234" w:rsidRPr="002A5BE8">
        <w:rPr>
          <w:sz w:val="22"/>
        </w:rPr>
        <w:t>mean</w:t>
      </w:r>
      <w:r w:rsidRPr="002A5BE8">
        <w:rPr>
          <w:sz w:val="22"/>
        </w:rPr>
        <w:t xml:space="preserve"> time looked after away from home was just over nine months</w:t>
      </w:r>
      <w:r w:rsidR="0032697C" w:rsidRPr="002A5BE8">
        <w:rPr>
          <w:sz w:val="22"/>
        </w:rPr>
        <w:t>.</w:t>
      </w:r>
    </w:p>
    <w:p w14:paraId="10C88F91" w14:textId="269D42A9"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 xml:space="preserve">The number of children looked after in kinship or foster care fell over the four years, reflecting a rise in the number of children who returned to parents, were placed with kin on Section 11 Orders or were adopted. Just </w:t>
      </w:r>
      <w:r w:rsidR="00CE25C0" w:rsidRPr="002A5BE8">
        <w:rPr>
          <w:sz w:val="22"/>
        </w:rPr>
        <w:t xml:space="preserve">two percent </w:t>
      </w:r>
      <w:r w:rsidRPr="002A5BE8">
        <w:rPr>
          <w:sz w:val="22"/>
        </w:rPr>
        <w:t>were placed on Permanence Orders by the end of the study.</w:t>
      </w:r>
    </w:p>
    <w:p w14:paraId="793874C8" w14:textId="780AFB0B"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The children who achieved a permanent placement most quickly were those reunified with parents. The median total time from becoming looked after away from home to reunification was 15 months.</w:t>
      </w:r>
    </w:p>
    <w:p w14:paraId="05E504F6" w14:textId="1757EF45"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A total of 212 children looked after away from home had been adopted by the end of Year 4. Few children were adopted before Year 3, and for half of the adopted children the adoption did not take place until Year 4.</w:t>
      </w:r>
      <w:r w:rsidR="00464C8C">
        <w:rPr>
          <w:sz w:val="22"/>
        </w:rPr>
        <w:t xml:space="preserve"> </w:t>
      </w:r>
      <w:r w:rsidRPr="002A5BE8">
        <w:rPr>
          <w:sz w:val="22"/>
        </w:rPr>
        <w:t xml:space="preserve">The median time to adoption was 25.5 months for those adopted via direct petition and 31 months for those adopted via a Permanence Order with Authority to Adopt (POA). </w:t>
      </w:r>
    </w:p>
    <w:p w14:paraId="3DFBFED9" w14:textId="3B375587" w:rsidR="00944A86" w:rsidRPr="002A5BE8" w:rsidRDefault="00944A86" w:rsidP="002A5BE8">
      <w:pPr>
        <w:pStyle w:val="ListParagraph"/>
        <w:numPr>
          <w:ilvl w:val="0"/>
          <w:numId w:val="8"/>
        </w:numPr>
        <w:spacing w:after="20" w:line="260" w:lineRule="exact"/>
        <w:ind w:left="714" w:right="567" w:hanging="357"/>
        <w:rPr>
          <w:sz w:val="22"/>
        </w:rPr>
      </w:pPr>
      <w:r w:rsidRPr="002A5BE8">
        <w:rPr>
          <w:sz w:val="22"/>
        </w:rPr>
        <w:t xml:space="preserve">Children on an adoption pathway were significantly younger when they started to be looked after away from home than children on all other pathways. Over half (56%) of those on an adoption pathway had become looked after away from home before they were six weeks old. </w:t>
      </w:r>
    </w:p>
    <w:p w14:paraId="26991850" w14:textId="77777777" w:rsidR="000F44BA" w:rsidRDefault="00944A86" w:rsidP="0055519D">
      <w:pPr>
        <w:pStyle w:val="ListParagraph"/>
        <w:numPr>
          <w:ilvl w:val="0"/>
          <w:numId w:val="8"/>
        </w:numPr>
        <w:spacing w:after="20" w:line="260" w:lineRule="exact"/>
        <w:ind w:left="714" w:right="567" w:hanging="357"/>
        <w:rPr>
          <w:sz w:val="22"/>
        </w:rPr>
      </w:pPr>
      <w:r w:rsidRPr="000F44BA">
        <w:rPr>
          <w:sz w:val="22"/>
        </w:rPr>
        <w:t>For children looked after at home, the time on a CSO spiked at 9-12 months.</w:t>
      </w:r>
      <w:r w:rsidR="00872051" w:rsidRPr="000F44BA">
        <w:rPr>
          <w:sz w:val="22"/>
        </w:rPr>
        <w:t xml:space="preserve"> </w:t>
      </w:r>
      <w:r w:rsidRPr="000F44BA">
        <w:rPr>
          <w:sz w:val="22"/>
        </w:rPr>
        <w:t>This may reflect a response to legal requirements, as the maximum time a CSO can be in place without being reviewed by a Children’s Hearing is one year. This suggests that decision</w:t>
      </w:r>
      <w:r w:rsidR="00872051" w:rsidRPr="000F44BA">
        <w:rPr>
          <w:sz w:val="22"/>
        </w:rPr>
        <w:t xml:space="preserve"> </w:t>
      </w:r>
      <w:r w:rsidRPr="000F44BA">
        <w:rPr>
          <w:sz w:val="22"/>
        </w:rPr>
        <w:t xml:space="preserve">making may, in some cases, be system-driven rather than needs-led. </w:t>
      </w:r>
    </w:p>
    <w:p w14:paraId="6F6EBB36" w14:textId="03211116" w:rsidR="00944A86" w:rsidRPr="000F44BA" w:rsidRDefault="00944A86" w:rsidP="0055519D">
      <w:pPr>
        <w:pStyle w:val="ListParagraph"/>
        <w:numPr>
          <w:ilvl w:val="0"/>
          <w:numId w:val="8"/>
        </w:numPr>
        <w:spacing w:after="20" w:line="260" w:lineRule="exact"/>
        <w:ind w:left="714" w:right="567" w:hanging="357"/>
        <w:rPr>
          <w:sz w:val="22"/>
        </w:rPr>
      </w:pPr>
      <w:r w:rsidRPr="000F44BA">
        <w:rPr>
          <w:sz w:val="22"/>
        </w:rPr>
        <w:t xml:space="preserve">For nearly one third of the children looked after away from home there was no evidence that they were in a permanent placement three to four years after starting to be looked after. </w:t>
      </w:r>
    </w:p>
    <w:p w14:paraId="0611039A" w14:textId="5F77E181" w:rsidR="00944A86" w:rsidRDefault="00944A86" w:rsidP="0079730A">
      <w:pPr>
        <w:pStyle w:val="Heading2"/>
      </w:pPr>
      <w:r>
        <w:lastRenderedPageBreak/>
        <w:t>Introduction</w:t>
      </w:r>
    </w:p>
    <w:p w14:paraId="55C3DD85" w14:textId="194C3439" w:rsidR="00944A86" w:rsidRDefault="00944A86" w:rsidP="00944A86">
      <w:r w:rsidRPr="007E584C">
        <w:rPr>
          <w:i/>
        </w:rPr>
        <w:t>Permanently Progressing? Building secure futures for children in Scotland</w:t>
      </w:r>
      <w:r w:rsidR="00872051">
        <w:t xml:space="preserve"> </w:t>
      </w:r>
      <w:r>
        <w:t>is the first study in Scotland to investigate decision</w:t>
      </w:r>
      <w:r w:rsidR="00F10639">
        <w:t xml:space="preserve"> </w:t>
      </w:r>
      <w:r>
        <w:t>making, permanence, progress, outcomes and belonging for children who became ‘looked after’ at home, or were placed away from their birth parents when they were aged five and under.</w:t>
      </w:r>
      <w:r w:rsidR="00872051">
        <w:t xml:space="preserve"> </w:t>
      </w:r>
      <w:r>
        <w:t xml:space="preserve">Phase One ran from 2014-18, and was designed to be the first phase in a longitudinal study following the children into adolescence and beyond. Phase One involved a team from the Universities of Stirling, York, and Lancaster in collaboration with Adoption and Fostering Alliance (AFA) Scotland. This strand analysed the child-level data from the Scottish Government’s Children Looked After Statistics (CLAS) dataset on the total population of children age five years or under who started to be looked after in 2012-13 </w:t>
      </w:r>
      <w:r w:rsidR="00CE25C0">
        <w:br/>
      </w:r>
      <w:r>
        <w:t xml:space="preserve">(n= 1,836). </w:t>
      </w:r>
    </w:p>
    <w:p w14:paraId="56162875" w14:textId="6154555A" w:rsidR="00944A86" w:rsidRDefault="00944A86" w:rsidP="0079730A">
      <w:pPr>
        <w:pStyle w:val="Heading2"/>
      </w:pPr>
      <w:r>
        <w:t>Why is the issue important?</w:t>
      </w:r>
    </w:p>
    <w:p w14:paraId="2B1AF4FC" w14:textId="4795E9E4" w:rsidR="00944A86" w:rsidRDefault="00944A86" w:rsidP="00944A86">
      <w:r>
        <w:t xml:space="preserve">Over 4,000 children in Scotland start to be looked after every year and, in 2017, a total of 14,897 were looked after on the annual census date. Many children who become looked after away from home will return to their parents, but for some the decision is taken to permanently place them with kinship carers, long-term foster carers or adoptive parents. Until now little was known about children’s pathways through the looked after system in Scotland, the balance of voluntary and compulsory intervention, and how patterns of placement change over time. This study addresses that gap and provides important new information. </w:t>
      </w:r>
    </w:p>
    <w:p w14:paraId="44353147" w14:textId="555B4BFA" w:rsidR="00944A86" w:rsidRDefault="00944A86" w:rsidP="0079730A">
      <w:pPr>
        <w:pStyle w:val="Heading2"/>
      </w:pPr>
      <w:r>
        <w:t>What does the research tell us?</w:t>
      </w:r>
    </w:p>
    <w:p w14:paraId="47B04071" w14:textId="6C49627B" w:rsidR="00944A86" w:rsidRDefault="00944A86" w:rsidP="00944A86">
      <w:r>
        <w:t xml:space="preserve">Anonymised child-level data (Children Looked After Statistics) was provided by the Scottish Government for the years 2012-13, 2013-14, 2014-15, and 2015-16 on the total cohort of 1,836 children in all 32 local authorities who started to be looked after between 1 August 2012 and 31 July 2013 (the study’s baseline year) and were age five years or under on 31 July 2013. Of these, 1,355 children (74%) became looked after away from home during the baseline year and are referred to as the </w:t>
      </w:r>
      <w:r w:rsidRPr="00CE25C0">
        <w:rPr>
          <w:i/>
        </w:rPr>
        <w:t>away from home</w:t>
      </w:r>
      <w:r>
        <w:t xml:space="preserve"> group and 481 (26%) became looked after at home and were not looked after away from home at any point during the baseline year.</w:t>
      </w:r>
      <w:r w:rsidR="00872051">
        <w:t xml:space="preserve"> </w:t>
      </w:r>
      <w:r>
        <w:t xml:space="preserve">These children are referred to as the </w:t>
      </w:r>
      <w:r w:rsidRPr="00CE25C0">
        <w:rPr>
          <w:i/>
        </w:rPr>
        <w:t>at home</w:t>
      </w:r>
      <w:r>
        <w:t xml:space="preserve"> group.</w:t>
      </w:r>
      <w:r w:rsidR="00872051">
        <w:t xml:space="preserve"> </w:t>
      </w:r>
    </w:p>
    <w:p w14:paraId="4FA50C1C" w14:textId="177D1A89" w:rsidR="00944A86" w:rsidRDefault="00944A86" w:rsidP="00944A86">
      <w:r>
        <w:t>Information on ethnic origin was available for just under 92% of the children, 94% of whom were recorded as ‘white.’ These formed the largest ethnic group. Seven percent (128) of the sample had recorded additional support needs.</w:t>
      </w:r>
    </w:p>
    <w:p w14:paraId="09CE7EF1" w14:textId="6C171CC7" w:rsidR="00944A86" w:rsidRDefault="00944A86" w:rsidP="0079730A">
      <w:pPr>
        <w:pStyle w:val="Heading3"/>
      </w:pPr>
      <w:r>
        <w:t>Local authority variation</w:t>
      </w:r>
    </w:p>
    <w:p w14:paraId="51E8A530" w14:textId="4198DCC4" w:rsidR="00944A86" w:rsidRDefault="00944A86" w:rsidP="00944A86">
      <w:r>
        <w:t>The rate per 1,000 children in each local authority who became looked after away from home and the rate looked after at home varied considerably by area.</w:t>
      </w:r>
      <w:r w:rsidR="00872051">
        <w:t xml:space="preserve"> </w:t>
      </w:r>
      <w:r>
        <w:t>The proportion looked after away from home ranged from just over 30% to 100% of looked after children in each authority. There was no evidence that the size of the local population of children age five years or under was related to the likelihood that a child would be looked after away from home.</w:t>
      </w:r>
      <w:r w:rsidR="00872051">
        <w:t xml:space="preserve"> </w:t>
      </w:r>
      <w:r>
        <w:t>Some local authorities in Scotland have very small populations. In those instances, the placement of just a few children could have a significant impact on the overall percentage looked after away from home.</w:t>
      </w:r>
      <w:r w:rsidR="00872051">
        <w:t xml:space="preserve"> </w:t>
      </w:r>
    </w:p>
    <w:p w14:paraId="651600C5" w14:textId="3EE9D60C" w:rsidR="00944A86" w:rsidRDefault="00944A86" w:rsidP="00944A86">
      <w:r>
        <w:t>The rates of children looked after (either at home or away from home) increased in line with increasing levels of local deprivation.</w:t>
      </w:r>
      <w:r w:rsidR="00872051">
        <w:t xml:space="preserve"> </w:t>
      </w:r>
      <w:r>
        <w:t>In other words, there is a statistically significant relationship between the level of deprivation and the likelihood of being looked after. The relationship, however, between poverty and rates of being looked after is complex, and this complexity was reflected in our findings. The two areas with the most pockets of deprivation had relatively high rates of looked after children, but not the highest. Rates were higher in several other, less deprived authorities, indicating that deprivation is not the only factor that increases the likelihood that a child will become looked after.</w:t>
      </w:r>
    </w:p>
    <w:p w14:paraId="182879B5" w14:textId="16B492D8" w:rsidR="00944A86" w:rsidRDefault="00944A86" w:rsidP="0079730A">
      <w:pPr>
        <w:pStyle w:val="Heading3"/>
      </w:pPr>
      <w:r>
        <w:lastRenderedPageBreak/>
        <w:t>Age when became looked after</w:t>
      </w:r>
    </w:p>
    <w:p w14:paraId="63D1DD0F" w14:textId="4BDEAA03" w:rsidR="00944A86" w:rsidRDefault="00944A86" w:rsidP="00944A86">
      <w:r>
        <w:t xml:space="preserve">The age at which the </w:t>
      </w:r>
      <w:r w:rsidRPr="00CE25C0">
        <w:rPr>
          <w:i/>
        </w:rPr>
        <w:t>away from home</w:t>
      </w:r>
      <w:r>
        <w:t xml:space="preserve"> group started to be looked after tended to be lower than for the </w:t>
      </w:r>
      <w:r w:rsidRPr="00CE25C0">
        <w:rPr>
          <w:i/>
        </w:rPr>
        <w:t>at home</w:t>
      </w:r>
      <w:r>
        <w:t xml:space="preserve"> group. The key differences between the groups were that the away from home group included a far higher proportion of children who started to be looked after before they were one year old, while the proportion of</w:t>
      </w:r>
      <w:r w:rsidR="00872051">
        <w:t xml:space="preserve"> </w:t>
      </w:r>
      <w:r>
        <w:t xml:space="preserve">four and five year olds in the </w:t>
      </w:r>
      <w:r w:rsidRPr="00CE25C0">
        <w:rPr>
          <w:i/>
        </w:rPr>
        <w:t>at home</w:t>
      </w:r>
      <w:r>
        <w:t xml:space="preserve"> group was double that in the </w:t>
      </w:r>
      <w:r w:rsidRPr="00CE25C0">
        <w:rPr>
          <w:i/>
        </w:rPr>
        <w:t>away from home</w:t>
      </w:r>
      <w:r>
        <w:t xml:space="preserve"> group. </w:t>
      </w:r>
    </w:p>
    <w:p w14:paraId="051A6D28" w14:textId="5414E13C" w:rsidR="00944A86" w:rsidRDefault="00944A86" w:rsidP="00944A86">
      <w:r>
        <w:t xml:space="preserve">Nearly half (46%) of the </w:t>
      </w:r>
      <w:r w:rsidRPr="00CE25C0">
        <w:rPr>
          <w:i/>
        </w:rPr>
        <w:t>away from home</w:t>
      </w:r>
      <w:r>
        <w:t xml:space="preserve"> group were under one year old when they started to be looked after away from home. One quarter were under six weeks old, including 250 (18%) who were less than seven days old.</w:t>
      </w:r>
      <w:r w:rsidR="00872051">
        <w:t xml:space="preserve"> </w:t>
      </w:r>
      <w:r>
        <w:t xml:space="preserve">Virtually all of the children in the </w:t>
      </w:r>
      <w:r w:rsidRPr="00CE25C0">
        <w:rPr>
          <w:i/>
        </w:rPr>
        <w:t>away from home</w:t>
      </w:r>
      <w:r>
        <w:t xml:space="preserve"> group were placed away from home immediately they became looked after, although 42 children were known to have been previously looked after at home.</w:t>
      </w:r>
      <w:r w:rsidR="00872051">
        <w:t xml:space="preserve"> </w:t>
      </w:r>
      <w:r>
        <w:t xml:space="preserve">Of the </w:t>
      </w:r>
      <w:r w:rsidRPr="00CE25C0">
        <w:rPr>
          <w:i/>
        </w:rPr>
        <w:t>at home</w:t>
      </w:r>
      <w:r>
        <w:t xml:space="preserve"> group, just under 20% (94) became looked after away from home during the subsequent three years of the study. </w:t>
      </w:r>
    </w:p>
    <w:p w14:paraId="61DA4FCD" w14:textId="4CFE57BA" w:rsidR="00944A86" w:rsidRDefault="00944A86" w:rsidP="0079730A">
      <w:pPr>
        <w:pStyle w:val="Heading3"/>
      </w:pPr>
      <w:r>
        <w:t xml:space="preserve">First </w:t>
      </w:r>
      <w:r w:rsidR="0079730A">
        <w:t>l</w:t>
      </w:r>
      <w:r>
        <w:t>egal status</w:t>
      </w:r>
    </w:p>
    <w:p w14:paraId="0F345520" w14:textId="2AD38CC5" w:rsidR="00944A86" w:rsidRDefault="00944A86" w:rsidP="00944A86">
      <w:r>
        <w:t xml:space="preserve">Nearly half of the </w:t>
      </w:r>
      <w:r w:rsidRPr="00CE25C0">
        <w:rPr>
          <w:i/>
        </w:rPr>
        <w:t>away from home</w:t>
      </w:r>
      <w:r>
        <w:t xml:space="preserve"> group (48%, 640) were initially looked after away from home under Section 25 of the Children (Scotland) Act 1995. A further 13% of this group were initially placed on a Compulsory Supervision Order (CSO).</w:t>
      </w:r>
      <w:r w:rsidR="00872051">
        <w:t xml:space="preserve"> </w:t>
      </w:r>
      <w:r>
        <w:t xml:space="preserve">A far higher proportion of children in the </w:t>
      </w:r>
      <w:r w:rsidRPr="00CE25C0">
        <w:rPr>
          <w:i/>
        </w:rPr>
        <w:t>at home</w:t>
      </w:r>
      <w:r>
        <w:t xml:space="preserve"> group who subsequently became looked after away from home after the baseline year did so on a compulsory basis (55%).</w:t>
      </w:r>
      <w:r w:rsidR="00872051">
        <w:t xml:space="preserve"> </w:t>
      </w:r>
      <w:r>
        <w:t>A further 12-17% of each group were initially looked after away from home under an Interim Compulsory Supervision Order (ICSO). One</w:t>
      </w:r>
      <w:r w:rsidR="00CE25C0">
        <w:t xml:space="preserve"> </w:t>
      </w:r>
      <w:r>
        <w:t xml:space="preserve">quarter of the </w:t>
      </w:r>
      <w:r w:rsidRPr="00CE25C0">
        <w:rPr>
          <w:i/>
        </w:rPr>
        <w:t>away from home</w:t>
      </w:r>
      <w:r>
        <w:t xml:space="preserve"> group were removed from home on an emergency child protection measure, such as a Child Protection Order (CPO). The use of CPOs varied with the age of the child. CPOs were most commonly used with very young children (under six weeks old) while warrants/ICSOs were more commonly used for older children. </w:t>
      </w:r>
    </w:p>
    <w:p w14:paraId="65B26472" w14:textId="50A8E899" w:rsidR="00944A86" w:rsidRDefault="00944A86" w:rsidP="0079730A">
      <w:pPr>
        <w:pStyle w:val="Heading3"/>
      </w:pPr>
      <w:r>
        <w:t>Type of first placement</w:t>
      </w:r>
    </w:p>
    <w:p w14:paraId="07C44F9F" w14:textId="390ACC25" w:rsidR="00944A86" w:rsidRDefault="00944A86" w:rsidP="00944A86">
      <w:r>
        <w:t xml:space="preserve">Ninety-four per cent of the children were placed in foster care, either with unrelated or kinship foster carers. Kinship foster care was used for 35% of the children in the </w:t>
      </w:r>
      <w:r w:rsidRPr="00CE25C0">
        <w:rPr>
          <w:i/>
        </w:rPr>
        <w:t>away from home</w:t>
      </w:r>
      <w:r>
        <w:t xml:space="preserve"> group and 43% of the </w:t>
      </w:r>
      <w:r w:rsidRPr="00CE25C0">
        <w:rPr>
          <w:i/>
        </w:rPr>
        <w:t>at home</w:t>
      </w:r>
      <w:r>
        <w:t xml:space="preserve"> group (who subsequently became looked after away from home after the baseline year). The use of kinship care increased in line with the child’s age at initial placement. </w:t>
      </w:r>
    </w:p>
    <w:p w14:paraId="112F30F3" w14:textId="555F0FC0" w:rsidR="00944A86" w:rsidRDefault="00944A86" w:rsidP="0079730A">
      <w:pPr>
        <w:pStyle w:val="Heading3"/>
      </w:pPr>
      <w:r>
        <w:t>Stability and changes over four years</w:t>
      </w:r>
    </w:p>
    <w:p w14:paraId="5A7597DE" w14:textId="5201AD90" w:rsidR="00944A86" w:rsidRDefault="00944A86" w:rsidP="00944A86">
      <w:r>
        <w:t>The majority of all the children (87%) had only a single ‘episode’ of being looked after. This does not necessarily</w:t>
      </w:r>
      <w:r w:rsidR="00872051">
        <w:t xml:space="preserve"> </w:t>
      </w:r>
      <w:r>
        <w:t xml:space="preserve">mean the child experienced stability, as a single episode may include one or more periods of being looked after away from home or at home. Children may also experience placement moves or changes in legal status within an episode. </w:t>
      </w:r>
    </w:p>
    <w:p w14:paraId="6C500553" w14:textId="73A24590" w:rsidR="00944A86" w:rsidRDefault="00944A86" w:rsidP="00944A86">
      <w:r>
        <w:t xml:space="preserve">Over half (54%, 727) of the </w:t>
      </w:r>
      <w:r w:rsidRPr="00CE25C0">
        <w:rPr>
          <w:i/>
        </w:rPr>
        <w:t>away from home</w:t>
      </w:r>
      <w:r>
        <w:t xml:space="preserve"> group were placed away from home on a single occasion then ceased to be looked after away from home and were not accommodated again during the study period. A further 29% (400) had a single continuous period of being looked after away from home from the baseline year to the end of the study four years later.</w:t>
      </w:r>
      <w:r w:rsidR="00872051">
        <w:t xml:space="preserve"> </w:t>
      </w:r>
      <w:r>
        <w:t>A third group, comprising just under one</w:t>
      </w:r>
      <w:r w:rsidR="00CE25C0">
        <w:t xml:space="preserve"> </w:t>
      </w:r>
      <w:r>
        <w:t xml:space="preserve">fifth (17%, 228) of the </w:t>
      </w:r>
      <w:r w:rsidRPr="00CE25C0">
        <w:rPr>
          <w:i/>
        </w:rPr>
        <w:t>away from home</w:t>
      </w:r>
      <w:r>
        <w:t xml:space="preserve"> group, had two or more periods of being looked after away from home. Over half (133) of this third group of children were still (or again) looked after away from home at the end of the study period, whilst the remainder (95) had ceased to be looked after away from home by this point.</w:t>
      </w:r>
    </w:p>
    <w:p w14:paraId="30636337" w14:textId="77777777" w:rsidR="000F44BA" w:rsidRDefault="00944A86" w:rsidP="00944A86">
      <w:r>
        <w:t xml:space="preserve">Over the course of the study (2012-16) over half (766, 57%) of the </w:t>
      </w:r>
      <w:r w:rsidRPr="00CE25C0">
        <w:rPr>
          <w:i/>
        </w:rPr>
        <w:t>away from home</w:t>
      </w:r>
      <w:r>
        <w:t xml:space="preserve"> group had two or more placements away from home, as did 45% (42) of those children in the </w:t>
      </w:r>
      <w:r w:rsidRPr="00CE25C0">
        <w:rPr>
          <w:i/>
        </w:rPr>
        <w:t>at home</w:t>
      </w:r>
      <w:r>
        <w:t xml:space="preserve"> group who were at some stage placed away from home. Nearly one third of children in the away from home group had two placements. Although undesirable, two placements may be hard to avoid in circumstances where children are accommodated at very short notice. However, around one fifth (20%) of the away from home group had three or four placements, and almost 5% had </w:t>
      </w:r>
    </w:p>
    <w:p w14:paraId="54E92DA6" w14:textId="136FC8E8" w:rsidR="00944A86" w:rsidRDefault="00944A86" w:rsidP="00944A86">
      <w:r>
        <w:lastRenderedPageBreak/>
        <w:t xml:space="preserve">five or more placements. The number of children in the at home group with multiple placements was lower, with </w:t>
      </w:r>
      <w:r w:rsidR="00CE25C0">
        <w:t>one</w:t>
      </w:r>
      <w:r>
        <w:t xml:space="preserve"> quarter having two placements, just 11% having three placements, and 9% four or more. </w:t>
      </w:r>
    </w:p>
    <w:p w14:paraId="108913BF" w14:textId="61250A75" w:rsidR="00944A86" w:rsidRDefault="00944A86" w:rsidP="00944A86">
      <w:r>
        <w:t>Over the four years of the study, increasing proportions of children were looked after by way of compulsory intervention.</w:t>
      </w:r>
      <w:r w:rsidR="00872051">
        <w:t xml:space="preserve"> </w:t>
      </w:r>
      <w:r>
        <w:t>Nearly half (48%) of the children in the away from home group initially became looked after by voluntary agreement (Section 25) and 12% were initially looked after on a compulsory basis. By the end of the study, 68% (923) of the away from home group had been placed on a CSO away from home at some stage.</w:t>
      </w:r>
    </w:p>
    <w:p w14:paraId="75C74313" w14:textId="21C5E257" w:rsidR="00944A86" w:rsidRDefault="00944A86" w:rsidP="00944A86">
      <w:r>
        <w:t>Of the 94 children in the at home group who were subsequently looked after away from home, nearly all (91) were placed under the provisions of a CSO. By the end of the study, five children who were in the at home group in 2012-13 were recorded as having been on a Permanence Order.</w:t>
      </w:r>
    </w:p>
    <w:p w14:paraId="7865350C" w14:textId="547861E5" w:rsidR="00944A86" w:rsidRDefault="00944A86" w:rsidP="0079730A">
      <w:pPr>
        <w:pStyle w:val="Heading3"/>
      </w:pPr>
      <w:r>
        <w:t>Length of time looked after</w:t>
      </w:r>
    </w:p>
    <w:p w14:paraId="5DB10505" w14:textId="78045B5E" w:rsidR="00944A86" w:rsidRDefault="00944A86" w:rsidP="00944A86">
      <w:r>
        <w:t>There was considerable variation in the total time that children were looked after, which ranged from less than one month to just under four years.</w:t>
      </w:r>
      <w:r w:rsidR="00872051">
        <w:t xml:space="preserve"> </w:t>
      </w:r>
      <w:r>
        <w:t>For some children, periods of time looked after (at home or away from home) were interspersed with periods when they were not looked after.</w:t>
      </w:r>
      <w:r w:rsidR="00872051">
        <w:t xml:space="preserve"> </w:t>
      </w:r>
      <w:r>
        <w:t>Children in the away from home group were looked after away from home for 25 months on average, ranging from less than one month to 47 months. Over one</w:t>
      </w:r>
      <w:r w:rsidR="008843E8">
        <w:t xml:space="preserve"> </w:t>
      </w:r>
      <w:r>
        <w:t>quarter (27%) of these children were looked after away from home for less than one year including five per cent placed away from home for less than one month, and a further five per cent for between one and three months.</w:t>
      </w:r>
      <w:r w:rsidR="00872051">
        <w:t xml:space="preserve"> </w:t>
      </w:r>
      <w:r>
        <w:t>However</w:t>
      </w:r>
      <w:r w:rsidR="0079730A">
        <w:t>,</w:t>
      </w:r>
      <w:r>
        <w:t xml:space="preserve"> over one third (38%) of the away from home group were looked after away from home for three to four years. </w:t>
      </w:r>
    </w:p>
    <w:p w14:paraId="6B1A6DCD" w14:textId="433EE5D7" w:rsidR="00944A86" w:rsidRDefault="00944A86" w:rsidP="00944A86">
      <w:r>
        <w:t>Among children reunified with parents, who accounted for nearly one</w:t>
      </w:r>
      <w:r w:rsidR="0079730A">
        <w:t xml:space="preserve"> </w:t>
      </w:r>
      <w:r>
        <w:t>third of the away from home group by the end of the study, the total time looked after away from home was just over nine months on average. One</w:t>
      </w:r>
      <w:r w:rsidR="0079730A">
        <w:t xml:space="preserve"> </w:t>
      </w:r>
      <w:r>
        <w:t>quarter (347) of the away from home group were looked after at home at some stage during the study period.</w:t>
      </w:r>
      <w:r w:rsidR="00872051">
        <w:t xml:space="preserve"> </w:t>
      </w:r>
      <w:r>
        <w:t xml:space="preserve">Their total time on a CSO at home was 14 months on average, but again there was wide variation with total time looked after at home ranging from less than one month to 42 months. </w:t>
      </w:r>
    </w:p>
    <w:p w14:paraId="6FF33B45" w14:textId="38A2442B" w:rsidR="00944A86" w:rsidRDefault="00944A86" w:rsidP="00944A86">
      <w:r>
        <w:t>Children in the at home group were looked after at home for an average of 21 months with the total duration ranging from less than one month to 47 months. Many of the children in the at home group were looked after at home for lengthy periods including 46% looked after for one to two years, and 20% for three to four years.</w:t>
      </w:r>
      <w:r w:rsidR="00872051">
        <w:t xml:space="preserve"> </w:t>
      </w:r>
      <w:r>
        <w:t>There was a clear spike in the number of children looked after at home for 9-12 months. This spike might reflect a response to legal requirements as the maximum time a CSO can be in place without being reviewed by a Children’s Hearing is one year, suggesting that decision</w:t>
      </w:r>
      <w:r w:rsidR="001F202E">
        <w:t xml:space="preserve"> </w:t>
      </w:r>
      <w:r>
        <w:t>making may be system-driven rather than needs-led. Another explanation may be that it takes time to assess parental capacity and engagement before decisions are made to discharge a CSO, or request that the Hearing extends the duration of the CSO at home, or makes a CSO away from home.</w:t>
      </w:r>
    </w:p>
    <w:p w14:paraId="6135B230" w14:textId="4C5F7D56" w:rsidR="00944A86" w:rsidRDefault="00944A86" w:rsidP="00944A86">
      <w:r>
        <w:t xml:space="preserve">Over half (51%) of those in the at home group who were placed away from home after the baseline year spent less than 12 months looked after away from home, compared with just 28% of the children in the away from home group. There are a number of possible explanations for this difference. First, children in the at home group were somewhat older when they became looked after, and older still when they were placed away from home. Consequently, it is possible that professionals’ concerns might be less acute than for the very young children who comprised the majority of the away from home group. Second, all of the at home group had been looked after at home on CSOs prior to being placed away from home so were well-known to services. In some cases this may have made services more confident about returning children home. In other </w:t>
      </w:r>
      <w:r w:rsidR="000F44BA">
        <w:br/>
      </w:r>
      <w:r w:rsidR="000F44BA">
        <w:br/>
      </w:r>
      <w:r>
        <w:lastRenderedPageBreak/>
        <w:t xml:space="preserve">cases, it may have led them to conclude that children could not be safeguarded at home and that a permanent placement away from home was needed. </w:t>
      </w:r>
    </w:p>
    <w:p w14:paraId="6401B978" w14:textId="52502780" w:rsidR="00944A86" w:rsidRDefault="00944A86" w:rsidP="0079730A">
      <w:pPr>
        <w:pStyle w:val="Heading3"/>
      </w:pPr>
      <w:r>
        <w:t>Where were children at the end of the study and were they in placements intended to be permanent?</w:t>
      </w:r>
    </w:p>
    <w:p w14:paraId="31352F39" w14:textId="1C2358A9" w:rsidR="00944A86" w:rsidRDefault="00944A86" w:rsidP="00944A86">
      <w:r>
        <w:t>Three to four years after they started to be looked after away from home, two-thirds (898, 66%) of the away from home group were in placements intended to be permanent. The most common destination for children was reunification with parents, a route taken by nearly one</w:t>
      </w:r>
      <w:r w:rsidR="008843E8">
        <w:t xml:space="preserve"> </w:t>
      </w:r>
      <w:r>
        <w:t xml:space="preserve">third (425, 31%) of the away from home group. Most children in the at home group remained at home over the four years. </w:t>
      </w:r>
    </w:p>
    <w:p w14:paraId="6061767F" w14:textId="0677A849" w:rsidR="00944A86" w:rsidRDefault="00944A86" w:rsidP="00944A86">
      <w:r>
        <w:t>Compared with others in permanent placements (apart from the very small number on Permanence Orders), the children who achieved a permanent placement most quickly were those who were reunified with parents. The median total time from admission to return home was 15 months (the final return if more than one).</w:t>
      </w:r>
      <w:r w:rsidR="00872051">
        <w:t xml:space="preserve"> </w:t>
      </w:r>
      <w:r>
        <w:t xml:space="preserve">As we saw above, these children had spent an average of nine months looked after away from home, indicating that some of these children may have had non-continuous periods of being looked after away from home, or had been looked after at home prior to their final legal status of being reunified with parents and discharged from the looked after system. </w:t>
      </w:r>
    </w:p>
    <w:p w14:paraId="160BC958" w14:textId="0681056F" w:rsidR="00944A86" w:rsidRDefault="00944A86" w:rsidP="00944A86">
      <w:r>
        <w:t>Other types of legal permanence took much longer to achieve.</w:t>
      </w:r>
      <w:r w:rsidR="00872051">
        <w:t xml:space="preserve"> </w:t>
      </w:r>
      <w:r>
        <w:t>A total of 292 children were on an adoption pathway (2</w:t>
      </w:r>
      <w:r w:rsidR="008646DD">
        <w:t>2</w:t>
      </w:r>
      <w:r>
        <w:t>% of the away from home group). This comprised 212 children who had been adopted together with 80 others placed with prospective adopters.</w:t>
      </w:r>
      <w:r w:rsidR="00872051">
        <w:t xml:space="preserve"> </w:t>
      </w:r>
      <w:r>
        <w:t>As mentioned previously, 46% of the away from home group were under a year old when they first became looked after; over one-quarter were under six weeks old including 18% who were under a week old. Despite this, most adoptions did not take place until three to four years after they started to be looked after. In Scotland, there are two routes to adoption, direct petition (by adopters) or Permanence Order with authority to Adopt (POA). For the children in our study 80% of the adoptions via POA took two years or more (from the time a child first became looked after away from home), as did 61% of adoptions via direct petition.</w:t>
      </w:r>
    </w:p>
    <w:p w14:paraId="5D37FB53" w14:textId="7DED86EE" w:rsidR="00944A86" w:rsidRDefault="00944A86" w:rsidP="00944A86">
      <w:r>
        <w:t>Just over a quarter of all children in the away from home group were under six weeks old when they became looked after away from home, however, these children formed over half (56%) of those on an adoption pathway at the end of the study. Children who were adopted or with prospective adopters by the end of the study were significantly younger when they started to be looked after away from home than those on all other pathways. There were no significant differences in age at starting to be looked after away from home between the children on all other pathways (reunification, Section 11, PO, no evident permanence plan).</w:t>
      </w:r>
    </w:p>
    <w:p w14:paraId="47B18E7F" w14:textId="160B971E" w:rsidR="00944A86" w:rsidRDefault="00944A86" w:rsidP="00944A86">
      <w:r>
        <w:t xml:space="preserve">By the end of the study, 11% of the children were living with relatives on Section 11 Orders. The number of children on these orders rose steadily over the four years, contributing to the fall in the number looked after away from home. A small number of the children in the away from home group (28, 2%) at the end of the four years had achieved legal permanence through a Permanence Order. </w:t>
      </w:r>
    </w:p>
    <w:p w14:paraId="01B474D5" w14:textId="73AD9919" w:rsidR="00944A86" w:rsidRDefault="00944A86" w:rsidP="00944A86">
      <w:r>
        <w:t>Three to four years after becoming looked after away from home in 2012-13 nearly one</w:t>
      </w:r>
      <w:r w:rsidR="0026321B">
        <w:t xml:space="preserve"> </w:t>
      </w:r>
      <w:r>
        <w:t xml:space="preserve">third (428) of the children were still (or again) looked after away from home without a legal order in place to provide them with stability and permanence </w:t>
      </w:r>
    </w:p>
    <w:p w14:paraId="07ADAEDB" w14:textId="77777777" w:rsidR="0079730A" w:rsidRDefault="0079730A">
      <w:pPr>
        <w:spacing w:after="160" w:line="259" w:lineRule="auto"/>
        <w:rPr>
          <w:rFonts w:ascii="Dubai" w:eastAsiaTheme="majorEastAsia" w:hAnsi="Dubai" w:cstheme="majorBidi"/>
          <w:b/>
          <w:color w:val="880000"/>
          <w:sz w:val="32"/>
          <w:szCs w:val="26"/>
        </w:rPr>
      </w:pPr>
      <w:r>
        <w:br w:type="page"/>
      </w:r>
    </w:p>
    <w:p w14:paraId="66FF52C3" w14:textId="77777777" w:rsidR="000F44BA" w:rsidRDefault="000F44BA" w:rsidP="0079730A">
      <w:pPr>
        <w:pStyle w:val="Centrehead"/>
      </w:pPr>
    </w:p>
    <w:p w14:paraId="02F2C8EE" w14:textId="004B621B" w:rsidR="00944A86" w:rsidRDefault="0079730A" w:rsidP="0079730A">
      <w:pPr>
        <w:pStyle w:val="Centrehead"/>
      </w:pPr>
      <w:r>
        <w:rPr>
          <w:noProof/>
        </w:rPr>
        <mc:AlternateContent>
          <mc:Choice Requires="wps">
            <w:drawing>
              <wp:anchor distT="0" distB="0" distL="114300" distR="114300" simplePos="0" relativeHeight="251674624" behindDoc="1" locked="0" layoutInCell="1" allowOverlap="1" wp14:anchorId="3689CC26" wp14:editId="61F7F3A8">
                <wp:simplePos x="0" y="0"/>
                <wp:positionH relativeFrom="page">
                  <wp:posOffset>819150</wp:posOffset>
                </wp:positionH>
                <wp:positionV relativeFrom="paragraph">
                  <wp:posOffset>-5715</wp:posOffset>
                </wp:positionV>
                <wp:extent cx="5904000" cy="8848725"/>
                <wp:effectExtent l="0" t="0" r="20955" b="2857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8848725"/>
                        </a:xfrm>
                        <a:prstGeom prst="rect">
                          <a:avLst/>
                        </a:prstGeom>
                        <a:solidFill>
                          <a:srgbClr val="FFCCCC"/>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1F0D" id="Rectangle 16" o:spid="_x0000_s1026" alt="&quot;&quot;" style="position:absolute;margin-left:64.5pt;margin-top:-.45pt;width:464.9pt;height:696.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" fillcolor="#fcc" strokecolor="#c00000" strokeweight="1pt">
                <w10:wrap anchorx="page"/>
              </v:rect>
            </w:pict>
          </mc:Fallback>
        </mc:AlternateContent>
      </w:r>
      <w:r w:rsidR="00944A86">
        <w:t>Implications for policy and practice</w:t>
      </w:r>
    </w:p>
    <w:p w14:paraId="3712F2C2" w14:textId="4DC36C36" w:rsidR="00944A86" w:rsidRDefault="00944A86" w:rsidP="00224786">
      <w:pPr>
        <w:pStyle w:val="ListParagraph"/>
        <w:numPr>
          <w:ilvl w:val="0"/>
          <w:numId w:val="9"/>
        </w:numPr>
        <w:spacing w:before="120"/>
        <w:ind w:left="714" w:hanging="357"/>
        <w:contextualSpacing w:val="0"/>
      </w:pPr>
      <w:r>
        <w:t>The Scottish Government’s annual reports on Children’s Social Work Statistics are a valuable resource, but would be more useful still if they presented more information for children looked after away from home and children looked after at home separately. Remaining at home under supervision and being removed from home are very different experiences for children and there are differences in their characteristics and pathways. It would also be helpful if the collection of information on children’s ethnic origin and additional support needs could be improved, as there w</w:t>
      </w:r>
      <w:r w:rsidR="00464C8C">
        <w:t>ere</w:t>
      </w:r>
      <w:r>
        <w:t xml:space="preserve"> significant levels of missing data on both.</w:t>
      </w:r>
    </w:p>
    <w:p w14:paraId="6CF7D1F6" w14:textId="68ED5A27" w:rsidR="00944A86" w:rsidRDefault="00944A86" w:rsidP="00224786">
      <w:pPr>
        <w:pStyle w:val="ListParagraph"/>
        <w:numPr>
          <w:ilvl w:val="0"/>
          <w:numId w:val="9"/>
        </w:numPr>
        <w:spacing w:before="120"/>
        <w:ind w:left="714" w:hanging="357"/>
        <w:contextualSpacing w:val="0"/>
      </w:pPr>
      <w:r>
        <w:t xml:space="preserve">There was variation in the rate of children who became looked after across the 32 Scottish local authorities. Although there was a relationship between the level of deprivation and the rate of children looked after, this may also be linked to variations in the approaches of local authorities, Children’s Hearings and the judiciary. </w:t>
      </w:r>
    </w:p>
    <w:p w14:paraId="7A3ECC97" w14:textId="05A7B1C2" w:rsidR="00944A86" w:rsidRDefault="00944A86" w:rsidP="00224786">
      <w:pPr>
        <w:pStyle w:val="ListParagraph"/>
        <w:numPr>
          <w:ilvl w:val="0"/>
          <w:numId w:val="9"/>
        </w:numPr>
        <w:spacing w:before="120"/>
        <w:ind w:left="714" w:hanging="357"/>
        <w:contextualSpacing w:val="0"/>
      </w:pPr>
      <w:r>
        <w:t>Nearly half (46%) of the away from home group were under one year old when they started to be looked after away from home. Over one</w:t>
      </w:r>
      <w:r w:rsidR="00382BDF">
        <w:t xml:space="preserve"> </w:t>
      </w:r>
      <w:r>
        <w:t>quarter were under six weeks old, including 250 who were less than seven days old.</w:t>
      </w:r>
      <w:r w:rsidR="00872051">
        <w:t xml:space="preserve"> </w:t>
      </w:r>
      <w:r>
        <w:t xml:space="preserve">It is important to understand more about the circumstances in which this occurs including the significance of pre-birth assessments, the work undertaken with parents to prevent separation where possible and the outcomes for the children concerned. </w:t>
      </w:r>
    </w:p>
    <w:p w14:paraId="563BB15E" w14:textId="5E9B6C06" w:rsidR="00944A86" w:rsidRDefault="00944A86" w:rsidP="00224786">
      <w:pPr>
        <w:pStyle w:val="ListParagraph"/>
        <w:numPr>
          <w:ilvl w:val="0"/>
          <w:numId w:val="9"/>
        </w:numPr>
        <w:spacing w:before="120"/>
        <w:ind w:left="714" w:hanging="357"/>
        <w:contextualSpacing w:val="0"/>
      </w:pPr>
      <w:r>
        <w:t xml:space="preserve">The largest permanence group, accounting for nearly one third of all children in the away from home group, comprised children who were reunified with their parents by the end of the study. This group included children who had returned home and were no longer looked after, and a much smaller group who were looked after at home. It is important that the needs of this large group of children are recognised and they and their families receive sufficient support to sustain their safety and wellbeing at home. </w:t>
      </w:r>
    </w:p>
    <w:p w14:paraId="4B104E5F" w14:textId="57382B7F" w:rsidR="00944A86" w:rsidRDefault="00944A86" w:rsidP="00224786">
      <w:pPr>
        <w:pStyle w:val="ListParagraph"/>
        <w:numPr>
          <w:ilvl w:val="0"/>
          <w:numId w:val="9"/>
        </w:numPr>
        <w:spacing w:before="120"/>
        <w:ind w:left="714" w:hanging="357"/>
        <w:contextualSpacing w:val="0"/>
      </w:pPr>
      <w:r>
        <w:t xml:space="preserve">The study raised questions as to why some children were looked after at home for a total of </w:t>
      </w:r>
      <w:r w:rsidR="00382BDF">
        <w:t>three to four</w:t>
      </w:r>
      <w:r>
        <w:t xml:space="preserve"> years. Local authorities may wish to investigate the circumstances in which this occurs, whether it is appropriate and the consequences for the children. </w:t>
      </w:r>
    </w:p>
    <w:p w14:paraId="4B9B6994" w14:textId="77777777" w:rsidR="00944A86" w:rsidRDefault="00944A86" w:rsidP="00224786">
      <w:pPr>
        <w:pStyle w:val="ListParagraph"/>
        <w:numPr>
          <w:ilvl w:val="0"/>
          <w:numId w:val="9"/>
        </w:numPr>
        <w:spacing w:before="120"/>
        <w:ind w:left="714" w:hanging="357"/>
        <w:contextualSpacing w:val="0"/>
      </w:pPr>
      <w:r>
        <w:t xml:space="preserve">For some children the process to permanence was slow, especially for those on an adoption pathway. Further attention to permanency planning is needed to ensure that children who cannot safely be reunified with their birth parents are placed in a permanent alternative family as soon as possible. </w:t>
      </w:r>
    </w:p>
    <w:p w14:paraId="242E2F27" w14:textId="464BDA3A" w:rsidR="00944A86" w:rsidRDefault="00944A86" w:rsidP="00224786">
      <w:pPr>
        <w:pStyle w:val="ListParagraph"/>
        <w:numPr>
          <w:ilvl w:val="0"/>
          <w:numId w:val="9"/>
        </w:numPr>
        <w:spacing w:before="120"/>
        <w:ind w:left="714" w:hanging="357"/>
        <w:contextualSpacing w:val="0"/>
      </w:pPr>
      <w:r>
        <w:t>For nearly one</w:t>
      </w:r>
      <w:r w:rsidR="00CE25C0">
        <w:t xml:space="preserve"> </w:t>
      </w:r>
      <w:r>
        <w:t xml:space="preserve">third of the away from home group there was no evidence that they were in a permanent placement </w:t>
      </w:r>
      <w:r w:rsidR="00382BDF">
        <w:t xml:space="preserve">three to four </w:t>
      </w:r>
      <w:r>
        <w:t xml:space="preserve">years after starting to be looked after. This raises questions about permanency planning for these very young children. </w:t>
      </w:r>
    </w:p>
    <w:p w14:paraId="1AD3C396" w14:textId="615E8423" w:rsidR="00944A86" w:rsidRDefault="00944A86" w:rsidP="00224786">
      <w:pPr>
        <w:pStyle w:val="ListParagraph"/>
        <w:numPr>
          <w:ilvl w:val="0"/>
          <w:numId w:val="9"/>
        </w:numPr>
        <w:spacing w:before="120"/>
        <w:ind w:left="714" w:hanging="357"/>
        <w:contextualSpacing w:val="0"/>
      </w:pPr>
      <w:r>
        <w:t xml:space="preserve">Permanence Orders were only rarely used for the children in our sample. It would be useful to investigate the reasons for the relatively low use of this route to permanence for younger children. Increasing the use of POs may be one strategy, among others, that may help to reduce the number of children experiencing impermanence. </w:t>
      </w:r>
    </w:p>
    <w:p w14:paraId="7ACE2536" w14:textId="77777777" w:rsidR="0079730A" w:rsidRDefault="0079730A">
      <w:pPr>
        <w:spacing w:after="160" w:line="259" w:lineRule="auto"/>
        <w:rPr>
          <w:rFonts w:ascii="Dubai" w:eastAsiaTheme="majorEastAsia" w:hAnsi="Dubai" w:cstheme="majorBidi"/>
          <w:b/>
          <w:color w:val="880000"/>
          <w:szCs w:val="24"/>
        </w:rPr>
      </w:pPr>
      <w:r>
        <w:br w:type="page"/>
      </w:r>
    </w:p>
    <w:p w14:paraId="490311DB" w14:textId="31211C55" w:rsidR="00944A86" w:rsidRDefault="00944A86" w:rsidP="0079730A">
      <w:pPr>
        <w:pStyle w:val="Heading3"/>
      </w:pPr>
      <w:r>
        <w:lastRenderedPageBreak/>
        <w:t>Acknowledgements</w:t>
      </w:r>
    </w:p>
    <w:p w14:paraId="15D0D986" w14:textId="2708D42B" w:rsidR="00944A86" w:rsidRDefault="00944A86" w:rsidP="00944A86">
      <w:r>
        <w:t xml:space="preserve">Thank you to the anonymous donor who made Phase One of the study possible and to Jane Scott who helped the research team to translate the full report to this briefing paper. The full report on this and the other four strands of the </w:t>
      </w:r>
      <w:r w:rsidRPr="00374FA7">
        <w:rPr>
          <w:i/>
        </w:rPr>
        <w:t>Permanently Progressing</w:t>
      </w:r>
      <w:r w:rsidR="00374FA7" w:rsidRPr="00374FA7">
        <w:rPr>
          <w:i/>
        </w:rPr>
        <w:t>?</w:t>
      </w:r>
      <w:r>
        <w:t xml:space="preserve"> </w:t>
      </w:r>
      <w:r w:rsidR="00374FA7">
        <w:t>s</w:t>
      </w:r>
      <w:r>
        <w:t xml:space="preserve">tudy can be </w:t>
      </w:r>
      <w:r w:rsidR="00564A4C">
        <w:t>found</w:t>
      </w:r>
      <w:r>
        <w:t xml:space="preserve"> at:</w:t>
      </w:r>
    </w:p>
    <w:bookmarkEnd w:id="0"/>
    <w:p w14:paraId="4BD214E0" w14:textId="588DE145" w:rsidR="00810436" w:rsidRPr="00810436" w:rsidRDefault="00810436" w:rsidP="00810436">
      <w:pPr>
        <w:rPr>
          <w:color w:val="0563C1" w:themeColor="hyperlink"/>
          <w:u w:val="single"/>
        </w:rPr>
      </w:pPr>
      <w:r w:rsidRPr="00810436">
        <w:rPr>
          <w:color w:val="0563C1" w:themeColor="hyperlink"/>
          <w:u w:val="single"/>
        </w:rPr>
        <w:fldChar w:fldCharType="begin"/>
      </w:r>
      <w:r w:rsidRPr="00810436">
        <w:rPr>
          <w:color w:val="0563C1" w:themeColor="hyperlink"/>
          <w:u w:val="single"/>
        </w:rPr>
        <w:instrText xml:space="preserve"> HYPERLINK "https://www.stir.ac.uk/about/faculties-and-services/social-sciences/our-research/research-areas/centre-for-child-wellbeing-and-protection/research/permanently-progressing/" </w:instrText>
      </w:r>
      <w:r w:rsidRPr="00810436">
        <w:rPr>
          <w:color w:val="0563C1" w:themeColor="hyperlink"/>
          <w:u w:val="single"/>
        </w:rPr>
        <w:fldChar w:fldCharType="separate"/>
      </w:r>
      <w:r w:rsidRPr="00810436">
        <w:rPr>
          <w:rStyle w:val="Hyperlink"/>
        </w:rPr>
        <w:t>https://www.stir.ac.uk/about/faculties-and-services/social-sciences/our-research/research-areas/centre-for-child-wellbeing-and-protection/research/permanently-progressing/</w:t>
      </w:r>
      <w:r w:rsidRPr="00810436">
        <w:rPr>
          <w:color w:val="0563C1" w:themeColor="hyperlink"/>
          <w:u w:val="single"/>
        </w:rPr>
        <w:fldChar w:fldCharType="end"/>
      </w:r>
    </w:p>
    <w:p w14:paraId="6B1F476F" w14:textId="74EEC4AF" w:rsidR="00810436" w:rsidRPr="00810436" w:rsidRDefault="0079203A" w:rsidP="00810436">
      <w:pPr>
        <w:rPr>
          <w:color w:val="0563C1" w:themeColor="hyperlink"/>
          <w:u w:val="single"/>
        </w:rPr>
      </w:pPr>
      <w:hyperlink r:id="rId9" w:history="1">
        <w:r w:rsidR="00810436" w:rsidRPr="00810436">
          <w:rPr>
            <w:rStyle w:val="Hyperlink"/>
          </w:rPr>
          <w:t>https://afascotland.com/learning-zone/2-static-content/124-permanently-progressing</w:t>
        </w:r>
      </w:hyperlink>
    </w:p>
    <w:p w14:paraId="06B4082D" w14:textId="132080FC" w:rsidR="00810436" w:rsidRPr="00810436" w:rsidRDefault="0079203A" w:rsidP="00810436">
      <w:pPr>
        <w:rPr>
          <w:color w:val="0563C1" w:themeColor="hyperlink"/>
          <w:u w:val="single"/>
        </w:rPr>
      </w:pPr>
      <w:hyperlink r:id="rId10" w:tgtFrame="_blank" w:history="1">
        <w:r w:rsidR="00810436" w:rsidRPr="00810436">
          <w:rPr>
            <w:rStyle w:val="Hyperlink"/>
          </w:rPr>
          <w:t>https://www.york.ac.uk/spsw/research/researchproject-permanentlyprogressing/</w:t>
        </w:r>
      </w:hyperlink>
      <w:r w:rsidR="00810436" w:rsidRPr="00810436">
        <w:rPr>
          <w:color w:val="0563C1" w:themeColor="hyperlink"/>
          <w:u w:val="single"/>
        </w:rPr>
        <w:t xml:space="preserve"> .  </w:t>
      </w:r>
    </w:p>
    <w:p w14:paraId="43AA5AF3" w14:textId="47875D82" w:rsidR="00810436" w:rsidRPr="00810436" w:rsidRDefault="0079203A" w:rsidP="00810436">
      <w:pPr>
        <w:rPr>
          <w:color w:val="0563C1" w:themeColor="hyperlink"/>
          <w:u w:val="single"/>
        </w:rPr>
      </w:pPr>
      <w:hyperlink r:id="rId11" w:history="1">
        <w:r w:rsidR="00840442" w:rsidRPr="003F5F43">
          <w:rPr>
            <w:rStyle w:val="Hyperlink"/>
          </w:rPr>
          <w:t>https://www.cfj-lancaster.org.uk/projects/permanently-progressing</w:t>
        </w:r>
      </w:hyperlink>
      <w:r w:rsidR="00840442">
        <w:t xml:space="preserve"> </w:t>
      </w:r>
    </w:p>
    <w:p w14:paraId="360B3F54" w14:textId="67FDE71D" w:rsidR="00155194" w:rsidRDefault="00155194" w:rsidP="00944A86">
      <w:pPr>
        <w:rPr>
          <w:rFonts w:asciiTheme="majorHAnsi" w:eastAsiaTheme="majorEastAsia" w:hAnsiTheme="majorHAnsi" w:cstheme="majorBidi"/>
          <w:color w:val="2F5496" w:themeColor="accent1" w:themeShade="BF"/>
          <w:sz w:val="36"/>
        </w:rPr>
      </w:pPr>
    </w:p>
    <w:p w14:paraId="1298222C" w14:textId="064E7034" w:rsidR="00360596" w:rsidRDefault="00360596" w:rsidP="00944A86">
      <w:pPr>
        <w:rPr>
          <w:rFonts w:asciiTheme="majorHAnsi" w:eastAsiaTheme="majorEastAsia" w:hAnsiTheme="majorHAnsi" w:cstheme="majorBidi"/>
          <w:color w:val="2F5496" w:themeColor="accent1" w:themeShade="BF"/>
          <w:sz w:val="36"/>
        </w:rPr>
      </w:pPr>
    </w:p>
    <w:p w14:paraId="0A332A06" w14:textId="67DFE552" w:rsidR="00195E78" w:rsidRDefault="00195E78" w:rsidP="00944A86">
      <w:pPr>
        <w:rPr>
          <w:rFonts w:asciiTheme="majorHAnsi" w:eastAsiaTheme="majorEastAsia" w:hAnsiTheme="majorHAnsi" w:cstheme="majorBidi"/>
          <w:color w:val="2F5496" w:themeColor="accent1" w:themeShade="BF"/>
          <w:sz w:val="36"/>
        </w:rPr>
      </w:pPr>
    </w:p>
    <w:p w14:paraId="136D5D06" w14:textId="659667AC" w:rsidR="00195E78" w:rsidRDefault="00195E78" w:rsidP="00944A86">
      <w:pPr>
        <w:rPr>
          <w:rFonts w:asciiTheme="majorHAnsi" w:eastAsiaTheme="majorEastAsia" w:hAnsiTheme="majorHAnsi" w:cstheme="majorBidi"/>
          <w:color w:val="2F5496" w:themeColor="accent1" w:themeShade="BF"/>
          <w:sz w:val="36"/>
        </w:rPr>
      </w:pPr>
    </w:p>
    <w:p w14:paraId="5614300A" w14:textId="5F83C174" w:rsidR="00195E78" w:rsidRDefault="00195E78" w:rsidP="00944A86">
      <w:pPr>
        <w:rPr>
          <w:rFonts w:asciiTheme="majorHAnsi" w:eastAsiaTheme="majorEastAsia" w:hAnsiTheme="majorHAnsi" w:cstheme="majorBidi"/>
          <w:color w:val="2F5496" w:themeColor="accent1" w:themeShade="BF"/>
          <w:sz w:val="36"/>
        </w:rPr>
      </w:pPr>
    </w:p>
    <w:p w14:paraId="5CA16677" w14:textId="36E4CF94" w:rsidR="00195E78" w:rsidRDefault="00195E78" w:rsidP="00944A86">
      <w:pPr>
        <w:rPr>
          <w:rFonts w:asciiTheme="majorHAnsi" w:eastAsiaTheme="majorEastAsia" w:hAnsiTheme="majorHAnsi" w:cstheme="majorBidi"/>
          <w:color w:val="2F5496" w:themeColor="accent1" w:themeShade="BF"/>
          <w:sz w:val="36"/>
        </w:rPr>
      </w:pPr>
    </w:p>
    <w:p w14:paraId="02FC2D45" w14:textId="1F617501" w:rsidR="00195E78" w:rsidRDefault="00195E78" w:rsidP="00944A86">
      <w:pPr>
        <w:rPr>
          <w:rFonts w:asciiTheme="majorHAnsi" w:eastAsiaTheme="majorEastAsia" w:hAnsiTheme="majorHAnsi" w:cstheme="majorBidi"/>
          <w:color w:val="2F5496" w:themeColor="accent1" w:themeShade="BF"/>
          <w:sz w:val="36"/>
        </w:rPr>
      </w:pPr>
    </w:p>
    <w:p w14:paraId="78D25F09" w14:textId="3994CB8A" w:rsidR="00195E78" w:rsidRDefault="00195E78" w:rsidP="00944A86">
      <w:pPr>
        <w:rPr>
          <w:rFonts w:asciiTheme="majorHAnsi" w:eastAsiaTheme="majorEastAsia" w:hAnsiTheme="majorHAnsi" w:cstheme="majorBidi"/>
          <w:color w:val="2F5496" w:themeColor="accent1" w:themeShade="BF"/>
          <w:sz w:val="36"/>
        </w:rPr>
      </w:pPr>
    </w:p>
    <w:p w14:paraId="1C513CEF" w14:textId="739B6175" w:rsidR="00195E78" w:rsidRDefault="00195E78" w:rsidP="00944A86">
      <w:pPr>
        <w:rPr>
          <w:rFonts w:asciiTheme="majorHAnsi" w:eastAsiaTheme="majorEastAsia" w:hAnsiTheme="majorHAnsi" w:cstheme="majorBidi"/>
          <w:color w:val="2F5496" w:themeColor="accent1" w:themeShade="BF"/>
          <w:sz w:val="36"/>
        </w:rPr>
      </w:pPr>
    </w:p>
    <w:p w14:paraId="2AF6AE08" w14:textId="547F2B5E" w:rsidR="00195E78" w:rsidRDefault="00195E78" w:rsidP="00944A86">
      <w:pPr>
        <w:rPr>
          <w:rFonts w:asciiTheme="majorHAnsi" w:eastAsiaTheme="majorEastAsia" w:hAnsiTheme="majorHAnsi" w:cstheme="majorBidi"/>
          <w:color w:val="2F5496" w:themeColor="accent1" w:themeShade="BF"/>
          <w:sz w:val="36"/>
        </w:rPr>
      </w:pPr>
    </w:p>
    <w:p w14:paraId="2DAF9369" w14:textId="43B6E9F4" w:rsidR="00195E78" w:rsidRDefault="00195E78" w:rsidP="00944A86">
      <w:pPr>
        <w:rPr>
          <w:rFonts w:asciiTheme="majorHAnsi" w:eastAsiaTheme="majorEastAsia" w:hAnsiTheme="majorHAnsi" w:cstheme="majorBidi"/>
          <w:color w:val="2F5496" w:themeColor="accent1" w:themeShade="BF"/>
          <w:sz w:val="36"/>
        </w:rPr>
      </w:pPr>
    </w:p>
    <w:p w14:paraId="5B3A0211" w14:textId="5B6E2A81" w:rsidR="00195E78" w:rsidRDefault="00195E78" w:rsidP="00944A86">
      <w:pPr>
        <w:rPr>
          <w:rFonts w:asciiTheme="majorHAnsi" w:eastAsiaTheme="majorEastAsia" w:hAnsiTheme="majorHAnsi" w:cstheme="majorBidi"/>
          <w:color w:val="2F5496" w:themeColor="accent1" w:themeShade="BF"/>
          <w:sz w:val="36"/>
        </w:rPr>
      </w:pPr>
    </w:p>
    <w:p w14:paraId="2C617905" w14:textId="326C8CB5" w:rsidR="00195E78" w:rsidRDefault="00195E78" w:rsidP="00944A86">
      <w:pPr>
        <w:rPr>
          <w:rFonts w:asciiTheme="majorHAnsi" w:eastAsiaTheme="majorEastAsia" w:hAnsiTheme="majorHAnsi" w:cstheme="majorBidi"/>
          <w:color w:val="2F5496" w:themeColor="accent1" w:themeShade="BF"/>
          <w:sz w:val="36"/>
        </w:rPr>
      </w:pPr>
    </w:p>
    <w:p w14:paraId="095ED812" w14:textId="1693D5A0" w:rsidR="00195E78" w:rsidRDefault="00195E78" w:rsidP="00944A86">
      <w:pPr>
        <w:rPr>
          <w:rFonts w:asciiTheme="majorHAnsi" w:eastAsiaTheme="majorEastAsia" w:hAnsiTheme="majorHAnsi" w:cstheme="majorBidi"/>
          <w:color w:val="2F5496" w:themeColor="accent1" w:themeShade="BF"/>
          <w:sz w:val="36"/>
        </w:rPr>
      </w:pPr>
    </w:p>
    <w:p w14:paraId="40771F9C" w14:textId="35047E43" w:rsidR="00195E78" w:rsidRDefault="00195E78" w:rsidP="00944A86">
      <w:pPr>
        <w:rPr>
          <w:rFonts w:asciiTheme="majorHAnsi" w:eastAsiaTheme="majorEastAsia" w:hAnsiTheme="majorHAnsi" w:cstheme="majorBidi"/>
          <w:color w:val="2F5496" w:themeColor="accent1" w:themeShade="BF"/>
          <w:sz w:val="36"/>
        </w:rPr>
      </w:pPr>
    </w:p>
    <w:p w14:paraId="086C9AF9" w14:textId="6C170271" w:rsidR="00195E78" w:rsidRDefault="00195E78" w:rsidP="00944A86">
      <w:pPr>
        <w:rPr>
          <w:rFonts w:asciiTheme="majorHAnsi" w:eastAsiaTheme="majorEastAsia" w:hAnsiTheme="majorHAnsi" w:cstheme="majorBidi"/>
          <w:color w:val="2F5496" w:themeColor="accent1" w:themeShade="BF"/>
          <w:sz w:val="36"/>
        </w:rPr>
      </w:pPr>
    </w:p>
    <w:p w14:paraId="49C59E17" w14:textId="3D4EA7B4" w:rsidR="000F44BA" w:rsidRDefault="000F44BA" w:rsidP="00944A86">
      <w:pPr>
        <w:rPr>
          <w:rFonts w:asciiTheme="majorHAnsi" w:eastAsiaTheme="majorEastAsia" w:hAnsiTheme="majorHAnsi" w:cstheme="majorBidi"/>
          <w:color w:val="2F5496" w:themeColor="accent1" w:themeShade="BF"/>
          <w:sz w:val="36"/>
        </w:rPr>
      </w:pPr>
    </w:p>
    <w:p w14:paraId="0D848BF2" w14:textId="30F97771" w:rsidR="000F44BA" w:rsidRDefault="000F44BA" w:rsidP="00944A86">
      <w:pPr>
        <w:rPr>
          <w:rFonts w:asciiTheme="majorHAnsi" w:eastAsiaTheme="majorEastAsia" w:hAnsiTheme="majorHAnsi" w:cstheme="majorBidi"/>
          <w:color w:val="2F5496" w:themeColor="accent1" w:themeShade="BF"/>
          <w:sz w:val="36"/>
        </w:rPr>
      </w:pPr>
    </w:p>
    <w:p w14:paraId="6D67EA30" w14:textId="46901FDC" w:rsidR="000F44BA" w:rsidRDefault="000F44BA" w:rsidP="00944A86">
      <w:pPr>
        <w:rPr>
          <w:rFonts w:asciiTheme="majorHAnsi" w:eastAsiaTheme="majorEastAsia" w:hAnsiTheme="majorHAnsi" w:cstheme="majorBidi"/>
          <w:color w:val="2F5496" w:themeColor="accent1" w:themeShade="BF"/>
          <w:sz w:val="36"/>
        </w:rPr>
      </w:pPr>
    </w:p>
    <w:p w14:paraId="205D1981" w14:textId="77777777" w:rsidR="00184305" w:rsidRDefault="00184305" w:rsidP="00944A86">
      <w:pPr>
        <w:rPr>
          <w:rFonts w:asciiTheme="majorHAnsi" w:eastAsiaTheme="majorEastAsia" w:hAnsiTheme="majorHAnsi" w:cstheme="majorBidi"/>
          <w:color w:val="2F5496" w:themeColor="accent1" w:themeShade="BF"/>
          <w:sz w:val="36"/>
        </w:rPr>
      </w:pPr>
    </w:p>
    <w:p w14:paraId="2716122A" w14:textId="14C3AA61" w:rsidR="000F44BA" w:rsidRDefault="000F44BA" w:rsidP="00944A86">
      <w:pPr>
        <w:rPr>
          <w:rFonts w:asciiTheme="majorHAnsi" w:eastAsiaTheme="majorEastAsia" w:hAnsiTheme="majorHAnsi" w:cstheme="majorBidi"/>
          <w:color w:val="2F5496" w:themeColor="accent1" w:themeShade="BF"/>
          <w:sz w:val="36"/>
        </w:rPr>
      </w:pPr>
    </w:p>
    <w:p w14:paraId="316C0BE7" w14:textId="19116D65" w:rsidR="000F44BA" w:rsidRDefault="000F44BA" w:rsidP="00944A86">
      <w:pPr>
        <w:rPr>
          <w:rFonts w:asciiTheme="majorHAnsi" w:eastAsiaTheme="majorEastAsia" w:hAnsiTheme="majorHAnsi" w:cstheme="majorBidi"/>
          <w:color w:val="2F5496" w:themeColor="accent1" w:themeShade="BF"/>
          <w:sz w:val="36"/>
        </w:rPr>
      </w:pPr>
    </w:p>
    <w:p w14:paraId="4C9E7250" w14:textId="77777777" w:rsidR="000F44BA" w:rsidRDefault="000F44BA" w:rsidP="00944A86">
      <w:pPr>
        <w:rPr>
          <w:rFonts w:asciiTheme="majorHAnsi" w:eastAsiaTheme="majorEastAsia" w:hAnsiTheme="majorHAnsi" w:cstheme="majorBidi"/>
          <w:color w:val="2F5496" w:themeColor="accent1" w:themeShade="BF"/>
          <w:sz w:val="36"/>
        </w:rPr>
      </w:pPr>
    </w:p>
    <w:p w14:paraId="19462930" w14:textId="77777777" w:rsidR="00195E78" w:rsidRDefault="00195E78" w:rsidP="00944A86">
      <w:pPr>
        <w:rPr>
          <w:rFonts w:asciiTheme="majorHAnsi" w:eastAsiaTheme="majorEastAsia" w:hAnsiTheme="majorHAnsi" w:cstheme="majorBidi"/>
          <w:color w:val="2F5496" w:themeColor="accent1" w:themeShade="BF"/>
          <w:sz w:val="36"/>
        </w:rPr>
      </w:pPr>
    </w:p>
    <w:p w14:paraId="068EA190" w14:textId="28D8CAC9" w:rsidR="00360596" w:rsidRDefault="00360596" w:rsidP="00195E78">
      <w:pPr>
        <w:spacing w:line="240" w:lineRule="auto"/>
        <w:rPr>
          <w:rFonts w:asciiTheme="majorHAnsi" w:eastAsiaTheme="majorEastAsia" w:hAnsiTheme="majorHAnsi" w:cstheme="majorBidi"/>
          <w:color w:val="2F5496" w:themeColor="accent1" w:themeShade="BF"/>
          <w:sz w:val="36"/>
        </w:rPr>
      </w:pPr>
      <w:r>
        <w:rPr>
          <w:noProof/>
        </w:rPr>
        <w:drawing>
          <wp:inline distT="0" distB="0" distL="0" distR="0" wp14:anchorId="1FE840B6" wp14:editId="4C58B1D3">
            <wp:extent cx="5904230" cy="1035050"/>
            <wp:effectExtent l="0" t="0" r="1270" b="0"/>
            <wp:docPr id="2" name="Picture 2" descr="Logos for the University of Stirling, Lancaster University, the University of York, and the Adoption and Fostering Alliance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s for the University of Stirling, Lancaster University, the University of York, and the Adoption and Fostering Alliance Scotland "/>
                    <pic:cNvPicPr/>
                  </pic:nvPicPr>
                  <pic:blipFill>
                    <a:blip r:embed="rId12"/>
                    <a:stretch>
                      <a:fillRect/>
                    </a:stretch>
                  </pic:blipFill>
                  <pic:spPr>
                    <a:xfrm>
                      <a:off x="0" y="0"/>
                      <a:ext cx="5904230" cy="1035050"/>
                    </a:xfrm>
                    <a:prstGeom prst="rect">
                      <a:avLst/>
                    </a:prstGeom>
                  </pic:spPr>
                </pic:pic>
              </a:graphicData>
            </a:graphic>
          </wp:inline>
        </w:drawing>
      </w:r>
    </w:p>
    <w:sectPr w:rsidR="00360596" w:rsidSect="000F44BA">
      <w:headerReference w:type="even" r:id="rId13"/>
      <w:headerReference w:type="default" r:id="rId14"/>
      <w:pgSz w:w="11906" w:h="16838" w:code="9"/>
      <w:pgMar w:top="1134" w:right="1304" w:bottom="1021" w:left="130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36A7" w14:textId="77777777" w:rsidR="0079203A" w:rsidRDefault="0079203A" w:rsidP="009F31E5">
      <w:r>
        <w:separator/>
      </w:r>
    </w:p>
  </w:endnote>
  <w:endnote w:type="continuationSeparator" w:id="0">
    <w:p w14:paraId="6A17C427" w14:textId="77777777" w:rsidR="0079203A" w:rsidRDefault="0079203A" w:rsidP="009F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ontPage">
    <w:panose1 w:val="02000603050000020004"/>
    <w:charset w:val="00"/>
    <w:family w:val="auto"/>
    <w:pitch w:val="variable"/>
    <w:sig w:usb0="A000006F" w:usb1="500078F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7C29" w14:textId="77777777" w:rsidR="0079203A" w:rsidRDefault="0079203A" w:rsidP="009F31E5">
      <w:r>
        <w:separator/>
      </w:r>
    </w:p>
  </w:footnote>
  <w:footnote w:type="continuationSeparator" w:id="0">
    <w:p w14:paraId="428D584C" w14:textId="77777777" w:rsidR="0079203A" w:rsidRDefault="0079203A" w:rsidP="009F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A38F" w14:textId="7AF8F061" w:rsidR="008B3232" w:rsidRDefault="008B3232" w:rsidP="009F31E5">
    <w:pPr>
      <w:pStyle w:val="Head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Pr="00513F23">
      <w:rPr>
        <w:i/>
      </w:rPr>
      <w:t xml:space="preserve"> Permanently Progressing?</w:t>
    </w:r>
    <w:r>
      <w:ptab w:relativeTo="margin" w:alignment="right" w:leader="none"/>
    </w:r>
    <w:r w:rsidRPr="00C96034">
      <w:t>Pathways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A5F9" w14:textId="2D733479" w:rsidR="008B3232" w:rsidRDefault="008B3232" w:rsidP="009F31E5">
    <w:pPr>
      <w:pStyle w:val="Header"/>
    </w:pPr>
    <w:r>
      <w:t>Pathways</w:t>
    </w:r>
    <w:r>
      <w:ptab w:relativeTo="margin" w:alignment="center" w:leader="none"/>
    </w:r>
    <w:r w:rsidRPr="00513F23">
      <w:rPr>
        <w:i/>
      </w:rPr>
      <w:t>Permanently Progressing?</w:t>
    </w:r>
    <w:r>
      <w:ptab w:relativeTo="margin" w:alignment="right" w:leader="none"/>
    </w:r>
    <w:r>
      <w:fldChar w:fldCharType="begin"/>
    </w:r>
    <w:r>
      <w:instrText xml:space="preserve"> PAGE   \* MERGEFORMAT </w:instrText>
    </w:r>
    <w:r>
      <w:fldChar w:fldCharType="separate"/>
    </w:r>
    <w: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07CA"/>
    <w:multiLevelType w:val="hybridMultilevel"/>
    <w:tmpl w:val="179C2B90"/>
    <w:lvl w:ilvl="0" w:tplc="A35438C2">
      <w:start w:val="1"/>
      <w:numFmt w:val="lowerLetter"/>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85433"/>
    <w:multiLevelType w:val="hybridMultilevel"/>
    <w:tmpl w:val="6DFA8D9E"/>
    <w:lvl w:ilvl="0" w:tplc="0428C600">
      <w:start w:val="6"/>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194F81"/>
    <w:multiLevelType w:val="hybridMultilevel"/>
    <w:tmpl w:val="A2B6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01388"/>
    <w:multiLevelType w:val="hybridMultilevel"/>
    <w:tmpl w:val="624A1BFA"/>
    <w:lvl w:ilvl="0" w:tplc="BA5ABA5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131ED"/>
    <w:multiLevelType w:val="hybridMultilevel"/>
    <w:tmpl w:val="E3561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1E617A"/>
    <w:multiLevelType w:val="hybridMultilevel"/>
    <w:tmpl w:val="BCC2E5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55E6D9F3"/>
    <w:multiLevelType w:val="hybridMultilevel"/>
    <w:tmpl w:val="8B1966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7D0D43"/>
    <w:multiLevelType w:val="hybridMultilevel"/>
    <w:tmpl w:val="FA6E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2142B"/>
    <w:multiLevelType w:val="hybridMultilevel"/>
    <w:tmpl w:val="954ADB68"/>
    <w:lvl w:ilvl="0" w:tplc="A35438C2">
      <w:start w:val="1"/>
      <w:numFmt w:val="lowerLetter"/>
      <w:lvlText w:val="%1)"/>
      <w:lvlJc w:val="left"/>
      <w:pPr>
        <w:ind w:left="502" w:hanging="360"/>
      </w:pPr>
      <w:rPr>
        <w:rFonts w:hint="default"/>
        <w:i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619535591">
    <w:abstractNumId w:val="8"/>
  </w:num>
  <w:num w:numId="2" w16cid:durableId="543099594">
    <w:abstractNumId w:val="4"/>
  </w:num>
  <w:num w:numId="3" w16cid:durableId="1586766895">
    <w:abstractNumId w:val="5"/>
  </w:num>
  <w:num w:numId="4" w16cid:durableId="822964290">
    <w:abstractNumId w:val="1"/>
  </w:num>
  <w:num w:numId="5" w16cid:durableId="2069300178">
    <w:abstractNumId w:val="0"/>
  </w:num>
  <w:num w:numId="6" w16cid:durableId="774328935">
    <w:abstractNumId w:val="3"/>
  </w:num>
  <w:num w:numId="7" w16cid:durableId="716467637">
    <w:abstractNumId w:val="6"/>
  </w:num>
  <w:num w:numId="8" w16cid:durableId="1630821383">
    <w:abstractNumId w:val="7"/>
  </w:num>
  <w:num w:numId="9" w16cid:durableId="91261680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SwNDMwtTQ3M7KwNDJV0lEKTi0uzszPAykwNK4FAGmvP4wtAAAA"/>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95pstx70z0p9ezra8xw2flxrptxwpvfr52&quot;&gt;1 Project refs LATEST&lt;record-ids&gt;&lt;item&gt;725&lt;/item&gt;&lt;item&gt;726&lt;/item&gt;&lt;item&gt;2877&lt;/item&gt;&lt;item&gt;3382&lt;/item&gt;&lt;item&gt;3427&lt;/item&gt;&lt;item&gt;8403&lt;/item&gt;&lt;item&gt;8566&lt;/item&gt;&lt;item&gt;9225&lt;/item&gt;&lt;item&gt;9370&lt;/item&gt;&lt;item&gt;10327&lt;/item&gt;&lt;item&gt;14487&lt;/item&gt;&lt;item&gt;20297&lt;/item&gt;&lt;item&gt;20427&lt;/item&gt;&lt;item&gt;20921&lt;/item&gt;&lt;item&gt;22792&lt;/item&gt;&lt;item&gt;22965&lt;/item&gt;&lt;item&gt;23157&lt;/item&gt;&lt;item&gt;23167&lt;/item&gt;&lt;item&gt;23231&lt;/item&gt;&lt;item&gt;23247&lt;/item&gt;&lt;item&gt;23259&lt;/item&gt;&lt;item&gt;23420&lt;/item&gt;&lt;item&gt;23442&lt;/item&gt;&lt;item&gt;23468&lt;/item&gt;&lt;item&gt;23471&lt;/item&gt;&lt;item&gt;23493&lt;/item&gt;&lt;item&gt;23507&lt;/item&gt;&lt;item&gt;23517&lt;/item&gt;&lt;item&gt;23547&lt;/item&gt;&lt;item&gt;23564&lt;/item&gt;&lt;item&gt;23577&lt;/item&gt;&lt;item&gt;23584&lt;/item&gt;&lt;item&gt;23592&lt;/item&gt;&lt;item&gt;23647&lt;/item&gt;&lt;item&gt;23683&lt;/item&gt;&lt;item&gt;23816&lt;/item&gt;&lt;item&gt;24017&lt;/item&gt;&lt;item&gt;24033&lt;/item&gt;&lt;item&gt;24087&lt;/item&gt;&lt;item&gt;24088&lt;/item&gt;&lt;item&gt;24089&lt;/item&gt;&lt;item&gt;24093&lt;/item&gt;&lt;item&gt;24095&lt;/item&gt;&lt;item&gt;24101&lt;/item&gt;&lt;item&gt;24138&lt;/item&gt;&lt;item&gt;24140&lt;/item&gt;&lt;item&gt;24160&lt;/item&gt;&lt;item&gt;24182&lt;/item&gt;&lt;item&gt;24221&lt;/item&gt;&lt;item&gt;24235&lt;/item&gt;&lt;item&gt;24239&lt;/item&gt;&lt;item&gt;24240&lt;/item&gt;&lt;item&gt;24242&lt;/item&gt;&lt;item&gt;24243&lt;/item&gt;&lt;item&gt;24244&lt;/item&gt;&lt;item&gt;24245&lt;/item&gt;&lt;item&gt;24246&lt;/item&gt;&lt;item&gt;24247&lt;/item&gt;&lt;item&gt;24248&lt;/item&gt;&lt;item&gt;24249&lt;/item&gt;&lt;item&gt;24250&lt;/item&gt;&lt;item&gt;24251&lt;/item&gt;&lt;item&gt;24252&lt;/item&gt;&lt;item&gt;24256&lt;/item&gt;&lt;item&gt;24258&lt;/item&gt;&lt;item&gt;24259&lt;/item&gt;&lt;item&gt;24263&lt;/item&gt;&lt;item&gt;24264&lt;/item&gt;&lt;item&gt;24265&lt;/item&gt;&lt;item&gt;24267&lt;/item&gt;&lt;item&gt;24269&lt;/item&gt;&lt;item&gt;24270&lt;/item&gt;&lt;item&gt;24272&lt;/item&gt;&lt;item&gt;24273&lt;/item&gt;&lt;item&gt;24274&lt;/item&gt;&lt;item&gt;24275&lt;/item&gt;&lt;item&gt;24276&lt;/item&gt;&lt;item&gt;24277&lt;/item&gt;&lt;item&gt;24278&lt;/item&gt;&lt;item&gt;24279&lt;/item&gt;&lt;item&gt;24280&lt;/item&gt;&lt;item&gt;24281&lt;/item&gt;&lt;/record-ids&gt;&lt;/item&gt;&lt;/Libraries&gt;"/>
  </w:docVars>
  <w:rsids>
    <w:rsidRoot w:val="005177DB"/>
    <w:rsid w:val="000002E1"/>
    <w:rsid w:val="000004E5"/>
    <w:rsid w:val="000016C6"/>
    <w:rsid w:val="0000179C"/>
    <w:rsid w:val="00001906"/>
    <w:rsid w:val="00001C93"/>
    <w:rsid w:val="0000257F"/>
    <w:rsid w:val="00002E85"/>
    <w:rsid w:val="0000367B"/>
    <w:rsid w:val="00005DAE"/>
    <w:rsid w:val="00006A2D"/>
    <w:rsid w:val="00006C35"/>
    <w:rsid w:val="00006D9E"/>
    <w:rsid w:val="000075DD"/>
    <w:rsid w:val="000076AC"/>
    <w:rsid w:val="000101AA"/>
    <w:rsid w:val="00010A91"/>
    <w:rsid w:val="00010D0E"/>
    <w:rsid w:val="00010FFD"/>
    <w:rsid w:val="0001174B"/>
    <w:rsid w:val="00011917"/>
    <w:rsid w:val="0001210B"/>
    <w:rsid w:val="000127BA"/>
    <w:rsid w:val="00013D5F"/>
    <w:rsid w:val="00013E8E"/>
    <w:rsid w:val="00014264"/>
    <w:rsid w:val="00015463"/>
    <w:rsid w:val="000155F7"/>
    <w:rsid w:val="00015710"/>
    <w:rsid w:val="00015AFD"/>
    <w:rsid w:val="00015DBD"/>
    <w:rsid w:val="00016529"/>
    <w:rsid w:val="00016DF9"/>
    <w:rsid w:val="00017227"/>
    <w:rsid w:val="000177FA"/>
    <w:rsid w:val="00017AC0"/>
    <w:rsid w:val="00017CF8"/>
    <w:rsid w:val="00021250"/>
    <w:rsid w:val="00021549"/>
    <w:rsid w:val="00021C48"/>
    <w:rsid w:val="00021DBE"/>
    <w:rsid w:val="00021E9C"/>
    <w:rsid w:val="00021F93"/>
    <w:rsid w:val="00022402"/>
    <w:rsid w:val="00022FFE"/>
    <w:rsid w:val="000232DE"/>
    <w:rsid w:val="00023963"/>
    <w:rsid w:val="00024DE8"/>
    <w:rsid w:val="00025518"/>
    <w:rsid w:val="00025E3D"/>
    <w:rsid w:val="000266C3"/>
    <w:rsid w:val="00026A85"/>
    <w:rsid w:val="000277DA"/>
    <w:rsid w:val="000278ED"/>
    <w:rsid w:val="00030D64"/>
    <w:rsid w:val="0003266F"/>
    <w:rsid w:val="00032D51"/>
    <w:rsid w:val="00032FB7"/>
    <w:rsid w:val="0003324F"/>
    <w:rsid w:val="00033F63"/>
    <w:rsid w:val="00033FD4"/>
    <w:rsid w:val="00034823"/>
    <w:rsid w:val="000353E8"/>
    <w:rsid w:val="00035509"/>
    <w:rsid w:val="00035C9A"/>
    <w:rsid w:val="00035D34"/>
    <w:rsid w:val="000365A0"/>
    <w:rsid w:val="0003710B"/>
    <w:rsid w:val="000378A8"/>
    <w:rsid w:val="00037FAA"/>
    <w:rsid w:val="00040702"/>
    <w:rsid w:val="00040A57"/>
    <w:rsid w:val="00041922"/>
    <w:rsid w:val="00041DFB"/>
    <w:rsid w:val="00041F91"/>
    <w:rsid w:val="000420CD"/>
    <w:rsid w:val="00042527"/>
    <w:rsid w:val="000428AB"/>
    <w:rsid w:val="00042C83"/>
    <w:rsid w:val="00043336"/>
    <w:rsid w:val="0004375D"/>
    <w:rsid w:val="000445B9"/>
    <w:rsid w:val="00044705"/>
    <w:rsid w:val="00044825"/>
    <w:rsid w:val="00044AB5"/>
    <w:rsid w:val="00046103"/>
    <w:rsid w:val="000465DE"/>
    <w:rsid w:val="00046CBF"/>
    <w:rsid w:val="0005311B"/>
    <w:rsid w:val="00053FFB"/>
    <w:rsid w:val="000545AD"/>
    <w:rsid w:val="00054A18"/>
    <w:rsid w:val="00055C93"/>
    <w:rsid w:val="00055F45"/>
    <w:rsid w:val="00057E0E"/>
    <w:rsid w:val="000602E3"/>
    <w:rsid w:val="00060951"/>
    <w:rsid w:val="00060CF9"/>
    <w:rsid w:val="00060E26"/>
    <w:rsid w:val="00060E7D"/>
    <w:rsid w:val="0006109D"/>
    <w:rsid w:val="000613D3"/>
    <w:rsid w:val="00061A90"/>
    <w:rsid w:val="00062439"/>
    <w:rsid w:val="00062A33"/>
    <w:rsid w:val="00062B61"/>
    <w:rsid w:val="00063332"/>
    <w:rsid w:val="000649F1"/>
    <w:rsid w:val="00064AD7"/>
    <w:rsid w:val="00064B6D"/>
    <w:rsid w:val="0006524C"/>
    <w:rsid w:val="0006590F"/>
    <w:rsid w:val="00066074"/>
    <w:rsid w:val="00066640"/>
    <w:rsid w:val="000669CA"/>
    <w:rsid w:val="00067238"/>
    <w:rsid w:val="000672E1"/>
    <w:rsid w:val="000676ED"/>
    <w:rsid w:val="00067AF7"/>
    <w:rsid w:val="000701AF"/>
    <w:rsid w:val="00070896"/>
    <w:rsid w:val="000725D0"/>
    <w:rsid w:val="00072D40"/>
    <w:rsid w:val="0007300D"/>
    <w:rsid w:val="000730E8"/>
    <w:rsid w:val="0007411F"/>
    <w:rsid w:val="00074E35"/>
    <w:rsid w:val="00075FE2"/>
    <w:rsid w:val="00076402"/>
    <w:rsid w:val="00077A4A"/>
    <w:rsid w:val="000801A5"/>
    <w:rsid w:val="00080412"/>
    <w:rsid w:val="00080C0C"/>
    <w:rsid w:val="000812E5"/>
    <w:rsid w:val="00081862"/>
    <w:rsid w:val="00081963"/>
    <w:rsid w:val="00081FEF"/>
    <w:rsid w:val="000822A2"/>
    <w:rsid w:val="00082414"/>
    <w:rsid w:val="00082BEB"/>
    <w:rsid w:val="00082DDE"/>
    <w:rsid w:val="0008313C"/>
    <w:rsid w:val="0008318A"/>
    <w:rsid w:val="00083C00"/>
    <w:rsid w:val="000843D1"/>
    <w:rsid w:val="00084F30"/>
    <w:rsid w:val="00084FF1"/>
    <w:rsid w:val="000851D3"/>
    <w:rsid w:val="00085FD3"/>
    <w:rsid w:val="00086343"/>
    <w:rsid w:val="000863E3"/>
    <w:rsid w:val="000865A9"/>
    <w:rsid w:val="000869E3"/>
    <w:rsid w:val="000874F0"/>
    <w:rsid w:val="000877A9"/>
    <w:rsid w:val="00090775"/>
    <w:rsid w:val="000926A4"/>
    <w:rsid w:val="000927A7"/>
    <w:rsid w:val="00092A37"/>
    <w:rsid w:val="00092F2D"/>
    <w:rsid w:val="00093450"/>
    <w:rsid w:val="00093C81"/>
    <w:rsid w:val="000947B9"/>
    <w:rsid w:val="00094A26"/>
    <w:rsid w:val="00095117"/>
    <w:rsid w:val="00095701"/>
    <w:rsid w:val="00095DD8"/>
    <w:rsid w:val="000961BA"/>
    <w:rsid w:val="000968D6"/>
    <w:rsid w:val="0009696A"/>
    <w:rsid w:val="000973D4"/>
    <w:rsid w:val="00097714"/>
    <w:rsid w:val="000977C2"/>
    <w:rsid w:val="000979A8"/>
    <w:rsid w:val="00097C32"/>
    <w:rsid w:val="000A0D9D"/>
    <w:rsid w:val="000A1021"/>
    <w:rsid w:val="000A1E87"/>
    <w:rsid w:val="000A2845"/>
    <w:rsid w:val="000A2A49"/>
    <w:rsid w:val="000A3A7C"/>
    <w:rsid w:val="000A3B0C"/>
    <w:rsid w:val="000A4E4C"/>
    <w:rsid w:val="000A59B0"/>
    <w:rsid w:val="000A5F96"/>
    <w:rsid w:val="000A6039"/>
    <w:rsid w:val="000A60BF"/>
    <w:rsid w:val="000A64F6"/>
    <w:rsid w:val="000A66C6"/>
    <w:rsid w:val="000A68EF"/>
    <w:rsid w:val="000A6B4B"/>
    <w:rsid w:val="000A6FDB"/>
    <w:rsid w:val="000B041E"/>
    <w:rsid w:val="000B0F57"/>
    <w:rsid w:val="000B19F8"/>
    <w:rsid w:val="000B262E"/>
    <w:rsid w:val="000B3DB0"/>
    <w:rsid w:val="000B3DBE"/>
    <w:rsid w:val="000B42A3"/>
    <w:rsid w:val="000B5750"/>
    <w:rsid w:val="000B6796"/>
    <w:rsid w:val="000B72AD"/>
    <w:rsid w:val="000B797D"/>
    <w:rsid w:val="000B7B66"/>
    <w:rsid w:val="000B7C81"/>
    <w:rsid w:val="000C02FE"/>
    <w:rsid w:val="000C1ECD"/>
    <w:rsid w:val="000C1F8F"/>
    <w:rsid w:val="000C2935"/>
    <w:rsid w:val="000C4655"/>
    <w:rsid w:val="000C515C"/>
    <w:rsid w:val="000C54DB"/>
    <w:rsid w:val="000C5C8D"/>
    <w:rsid w:val="000C5FA0"/>
    <w:rsid w:val="000C7F52"/>
    <w:rsid w:val="000D0220"/>
    <w:rsid w:val="000D0995"/>
    <w:rsid w:val="000D1D69"/>
    <w:rsid w:val="000D20E1"/>
    <w:rsid w:val="000D2262"/>
    <w:rsid w:val="000D3B9E"/>
    <w:rsid w:val="000D425D"/>
    <w:rsid w:val="000D524C"/>
    <w:rsid w:val="000D64A6"/>
    <w:rsid w:val="000D6CEE"/>
    <w:rsid w:val="000D7462"/>
    <w:rsid w:val="000E14AD"/>
    <w:rsid w:val="000E29D3"/>
    <w:rsid w:val="000E2F34"/>
    <w:rsid w:val="000E345E"/>
    <w:rsid w:val="000E3566"/>
    <w:rsid w:val="000E380C"/>
    <w:rsid w:val="000E3AD0"/>
    <w:rsid w:val="000E5340"/>
    <w:rsid w:val="000E554D"/>
    <w:rsid w:val="000E5CC9"/>
    <w:rsid w:val="000E6FD0"/>
    <w:rsid w:val="000F0398"/>
    <w:rsid w:val="000F0F18"/>
    <w:rsid w:val="000F1292"/>
    <w:rsid w:val="000F1695"/>
    <w:rsid w:val="000F1ADC"/>
    <w:rsid w:val="000F21D0"/>
    <w:rsid w:val="000F2AB1"/>
    <w:rsid w:val="000F3085"/>
    <w:rsid w:val="000F418B"/>
    <w:rsid w:val="000F44BA"/>
    <w:rsid w:val="000F4613"/>
    <w:rsid w:val="000F46D0"/>
    <w:rsid w:val="000F4953"/>
    <w:rsid w:val="000F4993"/>
    <w:rsid w:val="000F4A6B"/>
    <w:rsid w:val="000F508A"/>
    <w:rsid w:val="000F5F10"/>
    <w:rsid w:val="000F61E8"/>
    <w:rsid w:val="000F69D3"/>
    <w:rsid w:val="000F6C42"/>
    <w:rsid w:val="000F6E09"/>
    <w:rsid w:val="000F71C6"/>
    <w:rsid w:val="000F7535"/>
    <w:rsid w:val="000F75E4"/>
    <w:rsid w:val="000F786B"/>
    <w:rsid w:val="000F7E3F"/>
    <w:rsid w:val="00100249"/>
    <w:rsid w:val="001003ED"/>
    <w:rsid w:val="00100F06"/>
    <w:rsid w:val="00102021"/>
    <w:rsid w:val="001029D0"/>
    <w:rsid w:val="001036B2"/>
    <w:rsid w:val="00104F97"/>
    <w:rsid w:val="001059C9"/>
    <w:rsid w:val="00105A9B"/>
    <w:rsid w:val="00105BB3"/>
    <w:rsid w:val="00105BC6"/>
    <w:rsid w:val="00105DFB"/>
    <w:rsid w:val="00106728"/>
    <w:rsid w:val="00106D36"/>
    <w:rsid w:val="0011076E"/>
    <w:rsid w:val="00110E50"/>
    <w:rsid w:val="00111EAB"/>
    <w:rsid w:val="00112A59"/>
    <w:rsid w:val="00112BC3"/>
    <w:rsid w:val="00113C04"/>
    <w:rsid w:val="00113F89"/>
    <w:rsid w:val="001140BE"/>
    <w:rsid w:val="0011460C"/>
    <w:rsid w:val="00114A81"/>
    <w:rsid w:val="00114F2B"/>
    <w:rsid w:val="0011604C"/>
    <w:rsid w:val="0011646B"/>
    <w:rsid w:val="00116AE0"/>
    <w:rsid w:val="00116C65"/>
    <w:rsid w:val="001175F2"/>
    <w:rsid w:val="001178FF"/>
    <w:rsid w:val="001207B8"/>
    <w:rsid w:val="001207BF"/>
    <w:rsid w:val="00120807"/>
    <w:rsid w:val="001212D6"/>
    <w:rsid w:val="0012153D"/>
    <w:rsid w:val="00121C23"/>
    <w:rsid w:val="001222D7"/>
    <w:rsid w:val="00122654"/>
    <w:rsid w:val="00122C49"/>
    <w:rsid w:val="0012310B"/>
    <w:rsid w:val="00123314"/>
    <w:rsid w:val="001234C9"/>
    <w:rsid w:val="00123A27"/>
    <w:rsid w:val="00123F0E"/>
    <w:rsid w:val="00124BD0"/>
    <w:rsid w:val="00124D79"/>
    <w:rsid w:val="00124FA6"/>
    <w:rsid w:val="00125826"/>
    <w:rsid w:val="001258AB"/>
    <w:rsid w:val="0012594A"/>
    <w:rsid w:val="0012659D"/>
    <w:rsid w:val="001266A2"/>
    <w:rsid w:val="001268DF"/>
    <w:rsid w:val="00126B0C"/>
    <w:rsid w:val="00130370"/>
    <w:rsid w:val="001307BE"/>
    <w:rsid w:val="001311E8"/>
    <w:rsid w:val="001312BB"/>
    <w:rsid w:val="001319F1"/>
    <w:rsid w:val="00131D4B"/>
    <w:rsid w:val="00132B0D"/>
    <w:rsid w:val="00132F37"/>
    <w:rsid w:val="001348F8"/>
    <w:rsid w:val="00134D0C"/>
    <w:rsid w:val="00135140"/>
    <w:rsid w:val="00135BC0"/>
    <w:rsid w:val="00135D2E"/>
    <w:rsid w:val="00136BB0"/>
    <w:rsid w:val="00136C77"/>
    <w:rsid w:val="00136FA7"/>
    <w:rsid w:val="001371CF"/>
    <w:rsid w:val="001378C7"/>
    <w:rsid w:val="00137FE5"/>
    <w:rsid w:val="001401D0"/>
    <w:rsid w:val="00140C44"/>
    <w:rsid w:val="00142158"/>
    <w:rsid w:val="0014298E"/>
    <w:rsid w:val="00142BC0"/>
    <w:rsid w:val="00143585"/>
    <w:rsid w:val="00144862"/>
    <w:rsid w:val="001459A0"/>
    <w:rsid w:val="00145FB8"/>
    <w:rsid w:val="00146B31"/>
    <w:rsid w:val="00146E07"/>
    <w:rsid w:val="00147187"/>
    <w:rsid w:val="0014787C"/>
    <w:rsid w:val="001507EF"/>
    <w:rsid w:val="00151DC0"/>
    <w:rsid w:val="00153664"/>
    <w:rsid w:val="00153857"/>
    <w:rsid w:val="00153FF4"/>
    <w:rsid w:val="0015430C"/>
    <w:rsid w:val="0015435E"/>
    <w:rsid w:val="00155025"/>
    <w:rsid w:val="001550D5"/>
    <w:rsid w:val="00155194"/>
    <w:rsid w:val="001551FA"/>
    <w:rsid w:val="0015520C"/>
    <w:rsid w:val="00155A4A"/>
    <w:rsid w:val="001569A5"/>
    <w:rsid w:val="00157142"/>
    <w:rsid w:val="001608A2"/>
    <w:rsid w:val="001624E0"/>
    <w:rsid w:val="00162FB5"/>
    <w:rsid w:val="00163190"/>
    <w:rsid w:val="001641EC"/>
    <w:rsid w:val="00164B4E"/>
    <w:rsid w:val="00164D1A"/>
    <w:rsid w:val="0016504D"/>
    <w:rsid w:val="00165789"/>
    <w:rsid w:val="00165AD9"/>
    <w:rsid w:val="00165B86"/>
    <w:rsid w:val="00165C19"/>
    <w:rsid w:val="00165F94"/>
    <w:rsid w:val="00166861"/>
    <w:rsid w:val="00166A8C"/>
    <w:rsid w:val="00167BF7"/>
    <w:rsid w:val="00170308"/>
    <w:rsid w:val="0017092F"/>
    <w:rsid w:val="001709BE"/>
    <w:rsid w:val="00170E44"/>
    <w:rsid w:val="0017152D"/>
    <w:rsid w:val="00171946"/>
    <w:rsid w:val="00171CA1"/>
    <w:rsid w:val="00172352"/>
    <w:rsid w:val="001726A7"/>
    <w:rsid w:val="0017278F"/>
    <w:rsid w:val="00172936"/>
    <w:rsid w:val="00173126"/>
    <w:rsid w:val="001733B0"/>
    <w:rsid w:val="00173434"/>
    <w:rsid w:val="0017397B"/>
    <w:rsid w:val="00173C76"/>
    <w:rsid w:val="00174251"/>
    <w:rsid w:val="001742AD"/>
    <w:rsid w:val="001746A0"/>
    <w:rsid w:val="0017476E"/>
    <w:rsid w:val="00174A9E"/>
    <w:rsid w:val="00174CCD"/>
    <w:rsid w:val="001771FB"/>
    <w:rsid w:val="00181134"/>
    <w:rsid w:val="001813C0"/>
    <w:rsid w:val="001820A6"/>
    <w:rsid w:val="00182CF9"/>
    <w:rsid w:val="0018314D"/>
    <w:rsid w:val="001839B8"/>
    <w:rsid w:val="00183AF3"/>
    <w:rsid w:val="00183E7E"/>
    <w:rsid w:val="00184305"/>
    <w:rsid w:val="00185C4D"/>
    <w:rsid w:val="0018695D"/>
    <w:rsid w:val="00187299"/>
    <w:rsid w:val="00187374"/>
    <w:rsid w:val="00187682"/>
    <w:rsid w:val="0018788C"/>
    <w:rsid w:val="00187C7B"/>
    <w:rsid w:val="00190E65"/>
    <w:rsid w:val="00191B4D"/>
    <w:rsid w:val="0019304A"/>
    <w:rsid w:val="0019379D"/>
    <w:rsid w:val="00193FEF"/>
    <w:rsid w:val="001940B5"/>
    <w:rsid w:val="001941A4"/>
    <w:rsid w:val="00194526"/>
    <w:rsid w:val="0019456E"/>
    <w:rsid w:val="0019459C"/>
    <w:rsid w:val="00195069"/>
    <w:rsid w:val="00195E78"/>
    <w:rsid w:val="001963E6"/>
    <w:rsid w:val="001964F4"/>
    <w:rsid w:val="0019662C"/>
    <w:rsid w:val="001968C6"/>
    <w:rsid w:val="00196932"/>
    <w:rsid w:val="00196C78"/>
    <w:rsid w:val="00196D2E"/>
    <w:rsid w:val="0019718A"/>
    <w:rsid w:val="001977A4"/>
    <w:rsid w:val="00197CBB"/>
    <w:rsid w:val="001A00F6"/>
    <w:rsid w:val="001A034D"/>
    <w:rsid w:val="001A034F"/>
    <w:rsid w:val="001A0449"/>
    <w:rsid w:val="001A1C01"/>
    <w:rsid w:val="001A2398"/>
    <w:rsid w:val="001A2765"/>
    <w:rsid w:val="001A2D76"/>
    <w:rsid w:val="001A2F19"/>
    <w:rsid w:val="001A398C"/>
    <w:rsid w:val="001A3B1F"/>
    <w:rsid w:val="001A454C"/>
    <w:rsid w:val="001A586B"/>
    <w:rsid w:val="001A5B42"/>
    <w:rsid w:val="001A5D26"/>
    <w:rsid w:val="001A5E20"/>
    <w:rsid w:val="001A666B"/>
    <w:rsid w:val="001A7833"/>
    <w:rsid w:val="001B00F4"/>
    <w:rsid w:val="001B0819"/>
    <w:rsid w:val="001B1144"/>
    <w:rsid w:val="001B14F4"/>
    <w:rsid w:val="001B299E"/>
    <w:rsid w:val="001B3131"/>
    <w:rsid w:val="001B43C5"/>
    <w:rsid w:val="001B47A8"/>
    <w:rsid w:val="001B49A2"/>
    <w:rsid w:val="001B50D6"/>
    <w:rsid w:val="001B5306"/>
    <w:rsid w:val="001B794E"/>
    <w:rsid w:val="001B7BD3"/>
    <w:rsid w:val="001B7F2B"/>
    <w:rsid w:val="001C0369"/>
    <w:rsid w:val="001C1236"/>
    <w:rsid w:val="001C17AF"/>
    <w:rsid w:val="001C26BF"/>
    <w:rsid w:val="001C38A0"/>
    <w:rsid w:val="001C3D35"/>
    <w:rsid w:val="001C5094"/>
    <w:rsid w:val="001C51F9"/>
    <w:rsid w:val="001C55F2"/>
    <w:rsid w:val="001C55F6"/>
    <w:rsid w:val="001C6BC8"/>
    <w:rsid w:val="001D0E30"/>
    <w:rsid w:val="001D1179"/>
    <w:rsid w:val="001D2108"/>
    <w:rsid w:val="001D2181"/>
    <w:rsid w:val="001D2CE2"/>
    <w:rsid w:val="001D565C"/>
    <w:rsid w:val="001D5742"/>
    <w:rsid w:val="001D62C2"/>
    <w:rsid w:val="001D67A5"/>
    <w:rsid w:val="001D6ECB"/>
    <w:rsid w:val="001D7973"/>
    <w:rsid w:val="001D7E85"/>
    <w:rsid w:val="001E1421"/>
    <w:rsid w:val="001E17BA"/>
    <w:rsid w:val="001E2378"/>
    <w:rsid w:val="001E3A1E"/>
    <w:rsid w:val="001E407B"/>
    <w:rsid w:val="001E5104"/>
    <w:rsid w:val="001E5C4E"/>
    <w:rsid w:val="001E5F75"/>
    <w:rsid w:val="001E6120"/>
    <w:rsid w:val="001E66CA"/>
    <w:rsid w:val="001E6854"/>
    <w:rsid w:val="001E6970"/>
    <w:rsid w:val="001E71AE"/>
    <w:rsid w:val="001F0C72"/>
    <w:rsid w:val="001F1BC9"/>
    <w:rsid w:val="001F1FBE"/>
    <w:rsid w:val="001F202E"/>
    <w:rsid w:val="001F2FD0"/>
    <w:rsid w:val="001F37E5"/>
    <w:rsid w:val="001F391E"/>
    <w:rsid w:val="001F3FAE"/>
    <w:rsid w:val="001F40F3"/>
    <w:rsid w:val="001F4312"/>
    <w:rsid w:val="001F4A27"/>
    <w:rsid w:val="001F507B"/>
    <w:rsid w:val="001F5606"/>
    <w:rsid w:val="001F7E9F"/>
    <w:rsid w:val="00200198"/>
    <w:rsid w:val="0020058D"/>
    <w:rsid w:val="002009C6"/>
    <w:rsid w:val="0020165A"/>
    <w:rsid w:val="00202D5F"/>
    <w:rsid w:val="0020380A"/>
    <w:rsid w:val="00203A32"/>
    <w:rsid w:val="0020409A"/>
    <w:rsid w:val="002045A8"/>
    <w:rsid w:val="00205564"/>
    <w:rsid w:val="00205E7A"/>
    <w:rsid w:val="00206783"/>
    <w:rsid w:val="00206A2D"/>
    <w:rsid w:val="00207617"/>
    <w:rsid w:val="00207ACC"/>
    <w:rsid w:val="0021066E"/>
    <w:rsid w:val="00210CB9"/>
    <w:rsid w:val="00210D6B"/>
    <w:rsid w:val="00210E28"/>
    <w:rsid w:val="0021138D"/>
    <w:rsid w:val="002118A3"/>
    <w:rsid w:val="00211C4F"/>
    <w:rsid w:val="002121B3"/>
    <w:rsid w:val="00212D95"/>
    <w:rsid w:val="00213765"/>
    <w:rsid w:val="00213C72"/>
    <w:rsid w:val="00213FDA"/>
    <w:rsid w:val="00214887"/>
    <w:rsid w:val="0021492E"/>
    <w:rsid w:val="00215C4E"/>
    <w:rsid w:val="002161E2"/>
    <w:rsid w:val="002164C8"/>
    <w:rsid w:val="00216FB7"/>
    <w:rsid w:val="00217404"/>
    <w:rsid w:val="00217406"/>
    <w:rsid w:val="00217819"/>
    <w:rsid w:val="002207BC"/>
    <w:rsid w:val="00220839"/>
    <w:rsid w:val="00220C18"/>
    <w:rsid w:val="00220C89"/>
    <w:rsid w:val="00220E95"/>
    <w:rsid w:val="00221193"/>
    <w:rsid w:val="00222BCE"/>
    <w:rsid w:val="00222C22"/>
    <w:rsid w:val="00223061"/>
    <w:rsid w:val="00223E8C"/>
    <w:rsid w:val="00223EA5"/>
    <w:rsid w:val="00224175"/>
    <w:rsid w:val="002242D1"/>
    <w:rsid w:val="00224786"/>
    <w:rsid w:val="00224DAE"/>
    <w:rsid w:val="00224FAD"/>
    <w:rsid w:val="0022585F"/>
    <w:rsid w:val="00225F46"/>
    <w:rsid w:val="002279E4"/>
    <w:rsid w:val="00227E24"/>
    <w:rsid w:val="00230021"/>
    <w:rsid w:val="00230671"/>
    <w:rsid w:val="0023091A"/>
    <w:rsid w:val="00230C49"/>
    <w:rsid w:val="00230E5C"/>
    <w:rsid w:val="00232810"/>
    <w:rsid w:val="00233CD1"/>
    <w:rsid w:val="0023407D"/>
    <w:rsid w:val="002350A6"/>
    <w:rsid w:val="002361D9"/>
    <w:rsid w:val="00236336"/>
    <w:rsid w:val="0023670C"/>
    <w:rsid w:val="00236991"/>
    <w:rsid w:val="00237153"/>
    <w:rsid w:val="00237360"/>
    <w:rsid w:val="00240F62"/>
    <w:rsid w:val="00241192"/>
    <w:rsid w:val="002414C2"/>
    <w:rsid w:val="002414FC"/>
    <w:rsid w:val="00241B79"/>
    <w:rsid w:val="0024294B"/>
    <w:rsid w:val="00242CDB"/>
    <w:rsid w:val="00244406"/>
    <w:rsid w:val="00244946"/>
    <w:rsid w:val="00244BBF"/>
    <w:rsid w:val="00245C42"/>
    <w:rsid w:val="00245E96"/>
    <w:rsid w:val="00246A7A"/>
    <w:rsid w:val="00246C3B"/>
    <w:rsid w:val="00246EE2"/>
    <w:rsid w:val="00246FF8"/>
    <w:rsid w:val="0024700D"/>
    <w:rsid w:val="002477D4"/>
    <w:rsid w:val="002478D9"/>
    <w:rsid w:val="00247C19"/>
    <w:rsid w:val="00247F0E"/>
    <w:rsid w:val="002502FE"/>
    <w:rsid w:val="00251361"/>
    <w:rsid w:val="00251FDD"/>
    <w:rsid w:val="00252037"/>
    <w:rsid w:val="00252410"/>
    <w:rsid w:val="00252653"/>
    <w:rsid w:val="00252658"/>
    <w:rsid w:val="00252B9B"/>
    <w:rsid w:val="00252C48"/>
    <w:rsid w:val="00252DC7"/>
    <w:rsid w:val="00252DF9"/>
    <w:rsid w:val="00252FF5"/>
    <w:rsid w:val="0025349B"/>
    <w:rsid w:val="00254810"/>
    <w:rsid w:val="00254BCF"/>
    <w:rsid w:val="00254FBD"/>
    <w:rsid w:val="002553A1"/>
    <w:rsid w:val="00256508"/>
    <w:rsid w:val="00257C0A"/>
    <w:rsid w:val="00260715"/>
    <w:rsid w:val="00260E8F"/>
    <w:rsid w:val="00261137"/>
    <w:rsid w:val="00261696"/>
    <w:rsid w:val="00261904"/>
    <w:rsid w:val="00261F94"/>
    <w:rsid w:val="00262002"/>
    <w:rsid w:val="00262D68"/>
    <w:rsid w:val="0026321B"/>
    <w:rsid w:val="002633E5"/>
    <w:rsid w:val="00263DD7"/>
    <w:rsid w:val="002645F3"/>
    <w:rsid w:val="0026469B"/>
    <w:rsid w:val="00265B5A"/>
    <w:rsid w:val="002666FC"/>
    <w:rsid w:val="0026676B"/>
    <w:rsid w:val="00266EC0"/>
    <w:rsid w:val="00267D47"/>
    <w:rsid w:val="002705DC"/>
    <w:rsid w:val="002712E1"/>
    <w:rsid w:val="00271665"/>
    <w:rsid w:val="002722AC"/>
    <w:rsid w:val="00272BD9"/>
    <w:rsid w:val="00272C4E"/>
    <w:rsid w:val="00272D3E"/>
    <w:rsid w:val="00272D9B"/>
    <w:rsid w:val="00273799"/>
    <w:rsid w:val="00273BDC"/>
    <w:rsid w:val="00273C7A"/>
    <w:rsid w:val="00274036"/>
    <w:rsid w:val="00275F20"/>
    <w:rsid w:val="00276406"/>
    <w:rsid w:val="002765D0"/>
    <w:rsid w:val="002765F6"/>
    <w:rsid w:val="00276B39"/>
    <w:rsid w:val="00276C6A"/>
    <w:rsid w:val="0027719B"/>
    <w:rsid w:val="002771EA"/>
    <w:rsid w:val="0027721A"/>
    <w:rsid w:val="00277308"/>
    <w:rsid w:val="00277A22"/>
    <w:rsid w:val="00277A97"/>
    <w:rsid w:val="002801FB"/>
    <w:rsid w:val="00280C99"/>
    <w:rsid w:val="00281648"/>
    <w:rsid w:val="00281E36"/>
    <w:rsid w:val="002829B9"/>
    <w:rsid w:val="00282CFF"/>
    <w:rsid w:val="00282DCE"/>
    <w:rsid w:val="00283CF1"/>
    <w:rsid w:val="00283DFF"/>
    <w:rsid w:val="00284C76"/>
    <w:rsid w:val="00284E4F"/>
    <w:rsid w:val="00285689"/>
    <w:rsid w:val="00285696"/>
    <w:rsid w:val="002856A7"/>
    <w:rsid w:val="0028631A"/>
    <w:rsid w:val="00286B6E"/>
    <w:rsid w:val="00286CFA"/>
    <w:rsid w:val="00287B38"/>
    <w:rsid w:val="00291776"/>
    <w:rsid w:val="00291828"/>
    <w:rsid w:val="0029225A"/>
    <w:rsid w:val="0029241E"/>
    <w:rsid w:val="002929F4"/>
    <w:rsid w:val="00292BD1"/>
    <w:rsid w:val="00293129"/>
    <w:rsid w:val="00293BC4"/>
    <w:rsid w:val="00293C31"/>
    <w:rsid w:val="002945CD"/>
    <w:rsid w:val="002947EF"/>
    <w:rsid w:val="00295F42"/>
    <w:rsid w:val="0029656B"/>
    <w:rsid w:val="00296AE7"/>
    <w:rsid w:val="00296EBC"/>
    <w:rsid w:val="00296F84"/>
    <w:rsid w:val="002970DF"/>
    <w:rsid w:val="00297295"/>
    <w:rsid w:val="00297997"/>
    <w:rsid w:val="00297AED"/>
    <w:rsid w:val="00297B4B"/>
    <w:rsid w:val="002A04F9"/>
    <w:rsid w:val="002A0645"/>
    <w:rsid w:val="002A1187"/>
    <w:rsid w:val="002A15ED"/>
    <w:rsid w:val="002A190D"/>
    <w:rsid w:val="002A1BCD"/>
    <w:rsid w:val="002A245B"/>
    <w:rsid w:val="002A253F"/>
    <w:rsid w:val="002A2B49"/>
    <w:rsid w:val="002A30AF"/>
    <w:rsid w:val="002A38D0"/>
    <w:rsid w:val="002A394B"/>
    <w:rsid w:val="002A5BE8"/>
    <w:rsid w:val="002A627B"/>
    <w:rsid w:val="002A636B"/>
    <w:rsid w:val="002A6655"/>
    <w:rsid w:val="002A7476"/>
    <w:rsid w:val="002B0A49"/>
    <w:rsid w:val="002B0C89"/>
    <w:rsid w:val="002B13C6"/>
    <w:rsid w:val="002B17A2"/>
    <w:rsid w:val="002B1CF3"/>
    <w:rsid w:val="002B2315"/>
    <w:rsid w:val="002B284E"/>
    <w:rsid w:val="002B2E34"/>
    <w:rsid w:val="002B3AFC"/>
    <w:rsid w:val="002B4196"/>
    <w:rsid w:val="002B424B"/>
    <w:rsid w:val="002B43AC"/>
    <w:rsid w:val="002B5B81"/>
    <w:rsid w:val="002B5C48"/>
    <w:rsid w:val="002B5ECF"/>
    <w:rsid w:val="002B6BAF"/>
    <w:rsid w:val="002B7884"/>
    <w:rsid w:val="002B78A9"/>
    <w:rsid w:val="002B78F1"/>
    <w:rsid w:val="002C0431"/>
    <w:rsid w:val="002C05F2"/>
    <w:rsid w:val="002C0A36"/>
    <w:rsid w:val="002C0AF6"/>
    <w:rsid w:val="002C0B1E"/>
    <w:rsid w:val="002C0E98"/>
    <w:rsid w:val="002C0FB9"/>
    <w:rsid w:val="002C18CB"/>
    <w:rsid w:val="002C1969"/>
    <w:rsid w:val="002C207F"/>
    <w:rsid w:val="002C2334"/>
    <w:rsid w:val="002C3071"/>
    <w:rsid w:val="002C327A"/>
    <w:rsid w:val="002C3E1F"/>
    <w:rsid w:val="002C433C"/>
    <w:rsid w:val="002C44CA"/>
    <w:rsid w:val="002C4702"/>
    <w:rsid w:val="002C4A66"/>
    <w:rsid w:val="002C4AE5"/>
    <w:rsid w:val="002C4B78"/>
    <w:rsid w:val="002C50FF"/>
    <w:rsid w:val="002C51A8"/>
    <w:rsid w:val="002C59D7"/>
    <w:rsid w:val="002C5AA5"/>
    <w:rsid w:val="002C5EB9"/>
    <w:rsid w:val="002C61AB"/>
    <w:rsid w:val="002C62B8"/>
    <w:rsid w:val="002C68C4"/>
    <w:rsid w:val="002C7137"/>
    <w:rsid w:val="002C7250"/>
    <w:rsid w:val="002C7555"/>
    <w:rsid w:val="002D0161"/>
    <w:rsid w:val="002D1681"/>
    <w:rsid w:val="002D2C51"/>
    <w:rsid w:val="002D312D"/>
    <w:rsid w:val="002D3FA3"/>
    <w:rsid w:val="002D3FC4"/>
    <w:rsid w:val="002D4823"/>
    <w:rsid w:val="002D5BA0"/>
    <w:rsid w:val="002D5C73"/>
    <w:rsid w:val="002D629D"/>
    <w:rsid w:val="002D730D"/>
    <w:rsid w:val="002E0105"/>
    <w:rsid w:val="002E0315"/>
    <w:rsid w:val="002E0332"/>
    <w:rsid w:val="002E04C9"/>
    <w:rsid w:val="002E0AF6"/>
    <w:rsid w:val="002E0D51"/>
    <w:rsid w:val="002E0E06"/>
    <w:rsid w:val="002E1EF3"/>
    <w:rsid w:val="002E2310"/>
    <w:rsid w:val="002E2960"/>
    <w:rsid w:val="002E2F34"/>
    <w:rsid w:val="002E2F8C"/>
    <w:rsid w:val="002E3AB9"/>
    <w:rsid w:val="002E3C30"/>
    <w:rsid w:val="002E3E2E"/>
    <w:rsid w:val="002E4378"/>
    <w:rsid w:val="002E44ED"/>
    <w:rsid w:val="002E44FB"/>
    <w:rsid w:val="002E45A4"/>
    <w:rsid w:val="002E4845"/>
    <w:rsid w:val="002E503F"/>
    <w:rsid w:val="002E51AE"/>
    <w:rsid w:val="002E52EB"/>
    <w:rsid w:val="002E55E4"/>
    <w:rsid w:val="002E56BC"/>
    <w:rsid w:val="002E5C15"/>
    <w:rsid w:val="002E5CE0"/>
    <w:rsid w:val="002E6112"/>
    <w:rsid w:val="002E6947"/>
    <w:rsid w:val="002E6D7A"/>
    <w:rsid w:val="002E7157"/>
    <w:rsid w:val="002E752B"/>
    <w:rsid w:val="002E76DC"/>
    <w:rsid w:val="002E7BD0"/>
    <w:rsid w:val="002E7C1B"/>
    <w:rsid w:val="002F0B82"/>
    <w:rsid w:val="002F1590"/>
    <w:rsid w:val="002F1F3A"/>
    <w:rsid w:val="002F25EB"/>
    <w:rsid w:val="002F287A"/>
    <w:rsid w:val="002F39E9"/>
    <w:rsid w:val="002F4FD9"/>
    <w:rsid w:val="002F57A9"/>
    <w:rsid w:val="002F7D08"/>
    <w:rsid w:val="0030004B"/>
    <w:rsid w:val="00300324"/>
    <w:rsid w:val="003004C6"/>
    <w:rsid w:val="00301593"/>
    <w:rsid w:val="00301B57"/>
    <w:rsid w:val="003020D0"/>
    <w:rsid w:val="003021E4"/>
    <w:rsid w:val="0030258F"/>
    <w:rsid w:val="003030B5"/>
    <w:rsid w:val="00303808"/>
    <w:rsid w:val="00303EF4"/>
    <w:rsid w:val="0030455E"/>
    <w:rsid w:val="00305195"/>
    <w:rsid w:val="003052B0"/>
    <w:rsid w:val="0030616A"/>
    <w:rsid w:val="00307021"/>
    <w:rsid w:val="003071B4"/>
    <w:rsid w:val="0030723A"/>
    <w:rsid w:val="0030754B"/>
    <w:rsid w:val="00307F93"/>
    <w:rsid w:val="003103E2"/>
    <w:rsid w:val="00310540"/>
    <w:rsid w:val="0031074A"/>
    <w:rsid w:val="00310F30"/>
    <w:rsid w:val="00311E36"/>
    <w:rsid w:val="00312438"/>
    <w:rsid w:val="00312D4C"/>
    <w:rsid w:val="003155B0"/>
    <w:rsid w:val="003155E9"/>
    <w:rsid w:val="00315E8A"/>
    <w:rsid w:val="003160BD"/>
    <w:rsid w:val="003168AB"/>
    <w:rsid w:val="00316CF9"/>
    <w:rsid w:val="00316F98"/>
    <w:rsid w:val="00317315"/>
    <w:rsid w:val="00317464"/>
    <w:rsid w:val="00317996"/>
    <w:rsid w:val="00320030"/>
    <w:rsid w:val="00320274"/>
    <w:rsid w:val="003205E2"/>
    <w:rsid w:val="00320672"/>
    <w:rsid w:val="003206BF"/>
    <w:rsid w:val="0032079E"/>
    <w:rsid w:val="00320ACC"/>
    <w:rsid w:val="00320DE6"/>
    <w:rsid w:val="00320EB8"/>
    <w:rsid w:val="00321304"/>
    <w:rsid w:val="003217B8"/>
    <w:rsid w:val="00321BC2"/>
    <w:rsid w:val="00323280"/>
    <w:rsid w:val="00323287"/>
    <w:rsid w:val="00323746"/>
    <w:rsid w:val="00323783"/>
    <w:rsid w:val="00323867"/>
    <w:rsid w:val="00323E57"/>
    <w:rsid w:val="0032400B"/>
    <w:rsid w:val="00324C88"/>
    <w:rsid w:val="0032528C"/>
    <w:rsid w:val="003255D1"/>
    <w:rsid w:val="0032563C"/>
    <w:rsid w:val="00325BA0"/>
    <w:rsid w:val="003265C1"/>
    <w:rsid w:val="0032697C"/>
    <w:rsid w:val="00326FF2"/>
    <w:rsid w:val="00330880"/>
    <w:rsid w:val="00331E04"/>
    <w:rsid w:val="0033343D"/>
    <w:rsid w:val="0033396C"/>
    <w:rsid w:val="003339F2"/>
    <w:rsid w:val="003344EA"/>
    <w:rsid w:val="0033528F"/>
    <w:rsid w:val="003355B5"/>
    <w:rsid w:val="003357D6"/>
    <w:rsid w:val="00335C9E"/>
    <w:rsid w:val="00335F2E"/>
    <w:rsid w:val="003362E6"/>
    <w:rsid w:val="00336619"/>
    <w:rsid w:val="003370A9"/>
    <w:rsid w:val="00337575"/>
    <w:rsid w:val="00337A6D"/>
    <w:rsid w:val="00337D32"/>
    <w:rsid w:val="00340135"/>
    <w:rsid w:val="00340DAA"/>
    <w:rsid w:val="00340E59"/>
    <w:rsid w:val="00341139"/>
    <w:rsid w:val="00341313"/>
    <w:rsid w:val="00341605"/>
    <w:rsid w:val="003416F9"/>
    <w:rsid w:val="00341FCC"/>
    <w:rsid w:val="003423E5"/>
    <w:rsid w:val="00342B9E"/>
    <w:rsid w:val="003434EB"/>
    <w:rsid w:val="003436BE"/>
    <w:rsid w:val="003438B5"/>
    <w:rsid w:val="00343FFE"/>
    <w:rsid w:val="0034444B"/>
    <w:rsid w:val="003444C1"/>
    <w:rsid w:val="003444E2"/>
    <w:rsid w:val="00344A6E"/>
    <w:rsid w:val="00344B9E"/>
    <w:rsid w:val="00344BE2"/>
    <w:rsid w:val="00344F91"/>
    <w:rsid w:val="00345255"/>
    <w:rsid w:val="00345C6F"/>
    <w:rsid w:val="00345E8E"/>
    <w:rsid w:val="00345FF0"/>
    <w:rsid w:val="003460B9"/>
    <w:rsid w:val="0034648A"/>
    <w:rsid w:val="00346C77"/>
    <w:rsid w:val="00346CD9"/>
    <w:rsid w:val="00347206"/>
    <w:rsid w:val="0035082B"/>
    <w:rsid w:val="00350E95"/>
    <w:rsid w:val="00351282"/>
    <w:rsid w:val="0035216D"/>
    <w:rsid w:val="00352182"/>
    <w:rsid w:val="003525D5"/>
    <w:rsid w:val="00352BCD"/>
    <w:rsid w:val="00353241"/>
    <w:rsid w:val="00353C90"/>
    <w:rsid w:val="00353E02"/>
    <w:rsid w:val="00353E29"/>
    <w:rsid w:val="00354678"/>
    <w:rsid w:val="003559D0"/>
    <w:rsid w:val="00357AA4"/>
    <w:rsid w:val="0036056F"/>
    <w:rsid w:val="00360596"/>
    <w:rsid w:val="00360806"/>
    <w:rsid w:val="0036093F"/>
    <w:rsid w:val="00360BE1"/>
    <w:rsid w:val="00361449"/>
    <w:rsid w:val="00361881"/>
    <w:rsid w:val="00361EDF"/>
    <w:rsid w:val="00361F1C"/>
    <w:rsid w:val="00362549"/>
    <w:rsid w:val="0036345A"/>
    <w:rsid w:val="003638B5"/>
    <w:rsid w:val="00363B95"/>
    <w:rsid w:val="00364B7D"/>
    <w:rsid w:val="00364C14"/>
    <w:rsid w:val="003654BB"/>
    <w:rsid w:val="003655B9"/>
    <w:rsid w:val="003655FB"/>
    <w:rsid w:val="00365D5C"/>
    <w:rsid w:val="00365D8A"/>
    <w:rsid w:val="00366466"/>
    <w:rsid w:val="003669C5"/>
    <w:rsid w:val="0037060B"/>
    <w:rsid w:val="003719BB"/>
    <w:rsid w:val="00371CC3"/>
    <w:rsid w:val="00373F3E"/>
    <w:rsid w:val="00374920"/>
    <w:rsid w:val="00374BF7"/>
    <w:rsid w:val="00374CB2"/>
    <w:rsid w:val="00374FA7"/>
    <w:rsid w:val="00375C19"/>
    <w:rsid w:val="00375C53"/>
    <w:rsid w:val="00376170"/>
    <w:rsid w:val="00376869"/>
    <w:rsid w:val="00377B42"/>
    <w:rsid w:val="003806DE"/>
    <w:rsid w:val="003809C7"/>
    <w:rsid w:val="00381299"/>
    <w:rsid w:val="0038132C"/>
    <w:rsid w:val="003814BA"/>
    <w:rsid w:val="00381664"/>
    <w:rsid w:val="00381DCA"/>
    <w:rsid w:val="0038288E"/>
    <w:rsid w:val="00382BDF"/>
    <w:rsid w:val="00382ED9"/>
    <w:rsid w:val="00383357"/>
    <w:rsid w:val="0038478E"/>
    <w:rsid w:val="00385091"/>
    <w:rsid w:val="00385108"/>
    <w:rsid w:val="00385767"/>
    <w:rsid w:val="003857C7"/>
    <w:rsid w:val="00385D15"/>
    <w:rsid w:val="00386438"/>
    <w:rsid w:val="00386A83"/>
    <w:rsid w:val="00387676"/>
    <w:rsid w:val="0038778D"/>
    <w:rsid w:val="00387860"/>
    <w:rsid w:val="00387DB5"/>
    <w:rsid w:val="00387FCD"/>
    <w:rsid w:val="003900A0"/>
    <w:rsid w:val="00390104"/>
    <w:rsid w:val="00390B14"/>
    <w:rsid w:val="00391F41"/>
    <w:rsid w:val="00393132"/>
    <w:rsid w:val="0039375C"/>
    <w:rsid w:val="003944B8"/>
    <w:rsid w:val="00394A59"/>
    <w:rsid w:val="003960F6"/>
    <w:rsid w:val="00396531"/>
    <w:rsid w:val="003968B9"/>
    <w:rsid w:val="00396C14"/>
    <w:rsid w:val="003970F7"/>
    <w:rsid w:val="003979A4"/>
    <w:rsid w:val="003A136D"/>
    <w:rsid w:val="003A16DB"/>
    <w:rsid w:val="003A16F2"/>
    <w:rsid w:val="003A28C3"/>
    <w:rsid w:val="003A3128"/>
    <w:rsid w:val="003A39D9"/>
    <w:rsid w:val="003A45A8"/>
    <w:rsid w:val="003A4D03"/>
    <w:rsid w:val="003A4DAF"/>
    <w:rsid w:val="003A56C5"/>
    <w:rsid w:val="003A5CCC"/>
    <w:rsid w:val="003B00DF"/>
    <w:rsid w:val="003B021E"/>
    <w:rsid w:val="003B0539"/>
    <w:rsid w:val="003B0757"/>
    <w:rsid w:val="003B0D49"/>
    <w:rsid w:val="003B0E26"/>
    <w:rsid w:val="003B1097"/>
    <w:rsid w:val="003B1ABE"/>
    <w:rsid w:val="003B1C51"/>
    <w:rsid w:val="003B258C"/>
    <w:rsid w:val="003B3127"/>
    <w:rsid w:val="003B32C8"/>
    <w:rsid w:val="003B3A18"/>
    <w:rsid w:val="003B3E4F"/>
    <w:rsid w:val="003B40B1"/>
    <w:rsid w:val="003B47B7"/>
    <w:rsid w:val="003B4B4B"/>
    <w:rsid w:val="003B4DD3"/>
    <w:rsid w:val="003B51B7"/>
    <w:rsid w:val="003B5326"/>
    <w:rsid w:val="003B5725"/>
    <w:rsid w:val="003B6EF4"/>
    <w:rsid w:val="003B715A"/>
    <w:rsid w:val="003B73F2"/>
    <w:rsid w:val="003B7516"/>
    <w:rsid w:val="003B7B6B"/>
    <w:rsid w:val="003C0580"/>
    <w:rsid w:val="003C0ADA"/>
    <w:rsid w:val="003C0E8E"/>
    <w:rsid w:val="003C0F44"/>
    <w:rsid w:val="003C19D1"/>
    <w:rsid w:val="003C19DE"/>
    <w:rsid w:val="003C274B"/>
    <w:rsid w:val="003C2A54"/>
    <w:rsid w:val="003C36E5"/>
    <w:rsid w:val="003C3DB1"/>
    <w:rsid w:val="003C4000"/>
    <w:rsid w:val="003C4D3D"/>
    <w:rsid w:val="003C4E0E"/>
    <w:rsid w:val="003C513F"/>
    <w:rsid w:val="003C5216"/>
    <w:rsid w:val="003C5597"/>
    <w:rsid w:val="003C5F82"/>
    <w:rsid w:val="003C6630"/>
    <w:rsid w:val="003C6650"/>
    <w:rsid w:val="003C6844"/>
    <w:rsid w:val="003C7C00"/>
    <w:rsid w:val="003C7D0F"/>
    <w:rsid w:val="003C7E91"/>
    <w:rsid w:val="003C7F7C"/>
    <w:rsid w:val="003D01E2"/>
    <w:rsid w:val="003D0E75"/>
    <w:rsid w:val="003D0F77"/>
    <w:rsid w:val="003D1239"/>
    <w:rsid w:val="003D2190"/>
    <w:rsid w:val="003D24DB"/>
    <w:rsid w:val="003D27D0"/>
    <w:rsid w:val="003D2A01"/>
    <w:rsid w:val="003D2DC5"/>
    <w:rsid w:val="003D33F8"/>
    <w:rsid w:val="003D4074"/>
    <w:rsid w:val="003D5862"/>
    <w:rsid w:val="003D59C7"/>
    <w:rsid w:val="003D5BC1"/>
    <w:rsid w:val="003D6DAB"/>
    <w:rsid w:val="003D72E0"/>
    <w:rsid w:val="003D76DC"/>
    <w:rsid w:val="003D78B8"/>
    <w:rsid w:val="003D7CCA"/>
    <w:rsid w:val="003E020C"/>
    <w:rsid w:val="003E0BBE"/>
    <w:rsid w:val="003E0D18"/>
    <w:rsid w:val="003E0DAE"/>
    <w:rsid w:val="003E0EFF"/>
    <w:rsid w:val="003E1648"/>
    <w:rsid w:val="003E21C4"/>
    <w:rsid w:val="003E2C22"/>
    <w:rsid w:val="003E2C6B"/>
    <w:rsid w:val="003E3C8A"/>
    <w:rsid w:val="003E3E19"/>
    <w:rsid w:val="003E400E"/>
    <w:rsid w:val="003E4181"/>
    <w:rsid w:val="003E451D"/>
    <w:rsid w:val="003E4D1D"/>
    <w:rsid w:val="003E584F"/>
    <w:rsid w:val="003E5D02"/>
    <w:rsid w:val="003E5DD9"/>
    <w:rsid w:val="003E67DE"/>
    <w:rsid w:val="003E6905"/>
    <w:rsid w:val="003E6F86"/>
    <w:rsid w:val="003E71A1"/>
    <w:rsid w:val="003E74C1"/>
    <w:rsid w:val="003F020B"/>
    <w:rsid w:val="003F05BC"/>
    <w:rsid w:val="003F0807"/>
    <w:rsid w:val="003F0D9A"/>
    <w:rsid w:val="003F1617"/>
    <w:rsid w:val="003F19D8"/>
    <w:rsid w:val="003F1C2F"/>
    <w:rsid w:val="003F2722"/>
    <w:rsid w:val="003F2B92"/>
    <w:rsid w:val="003F3D48"/>
    <w:rsid w:val="003F44EE"/>
    <w:rsid w:val="003F4665"/>
    <w:rsid w:val="003F4CF4"/>
    <w:rsid w:val="003F53AC"/>
    <w:rsid w:val="003F5DBD"/>
    <w:rsid w:val="003F6E01"/>
    <w:rsid w:val="003F6FE5"/>
    <w:rsid w:val="003F7704"/>
    <w:rsid w:val="003F7DF0"/>
    <w:rsid w:val="003F7E0B"/>
    <w:rsid w:val="003F7EC3"/>
    <w:rsid w:val="004004CE"/>
    <w:rsid w:val="00400782"/>
    <w:rsid w:val="00402543"/>
    <w:rsid w:val="0040264E"/>
    <w:rsid w:val="00402669"/>
    <w:rsid w:val="00403289"/>
    <w:rsid w:val="00403474"/>
    <w:rsid w:val="0040379D"/>
    <w:rsid w:val="00404702"/>
    <w:rsid w:val="00405125"/>
    <w:rsid w:val="00406706"/>
    <w:rsid w:val="0040679C"/>
    <w:rsid w:val="00407701"/>
    <w:rsid w:val="004115E6"/>
    <w:rsid w:val="00411A0D"/>
    <w:rsid w:val="00412000"/>
    <w:rsid w:val="00412B7A"/>
    <w:rsid w:val="004148AF"/>
    <w:rsid w:val="004148BC"/>
    <w:rsid w:val="00414AE6"/>
    <w:rsid w:val="004150DE"/>
    <w:rsid w:val="004152A9"/>
    <w:rsid w:val="004161F9"/>
    <w:rsid w:val="004167E4"/>
    <w:rsid w:val="00417466"/>
    <w:rsid w:val="00417920"/>
    <w:rsid w:val="00417CF8"/>
    <w:rsid w:val="0042036D"/>
    <w:rsid w:val="00420663"/>
    <w:rsid w:val="004208E4"/>
    <w:rsid w:val="00420D78"/>
    <w:rsid w:val="00420DD7"/>
    <w:rsid w:val="0042179F"/>
    <w:rsid w:val="0042182E"/>
    <w:rsid w:val="00421FF6"/>
    <w:rsid w:val="00422CE3"/>
    <w:rsid w:val="004230F2"/>
    <w:rsid w:val="00423B55"/>
    <w:rsid w:val="004240C4"/>
    <w:rsid w:val="00424DC3"/>
    <w:rsid w:val="00424F88"/>
    <w:rsid w:val="0042526F"/>
    <w:rsid w:val="004259B5"/>
    <w:rsid w:val="00426ABA"/>
    <w:rsid w:val="004270FB"/>
    <w:rsid w:val="00427803"/>
    <w:rsid w:val="00427967"/>
    <w:rsid w:val="00427992"/>
    <w:rsid w:val="00427A2E"/>
    <w:rsid w:val="00430B49"/>
    <w:rsid w:val="00430C28"/>
    <w:rsid w:val="0043118B"/>
    <w:rsid w:val="0043174C"/>
    <w:rsid w:val="00432AA4"/>
    <w:rsid w:val="00433EED"/>
    <w:rsid w:val="00433FFA"/>
    <w:rsid w:val="004341C2"/>
    <w:rsid w:val="0043620A"/>
    <w:rsid w:val="004362FA"/>
    <w:rsid w:val="0043635D"/>
    <w:rsid w:val="00436823"/>
    <w:rsid w:val="004368C5"/>
    <w:rsid w:val="00436CA4"/>
    <w:rsid w:val="0043723E"/>
    <w:rsid w:val="004379C6"/>
    <w:rsid w:val="00437AB6"/>
    <w:rsid w:val="00437C41"/>
    <w:rsid w:val="004403EE"/>
    <w:rsid w:val="00440763"/>
    <w:rsid w:val="00440958"/>
    <w:rsid w:val="00440BEF"/>
    <w:rsid w:val="00440DE5"/>
    <w:rsid w:val="00441F4E"/>
    <w:rsid w:val="0044236E"/>
    <w:rsid w:val="00442A7F"/>
    <w:rsid w:val="00442FAB"/>
    <w:rsid w:val="00443042"/>
    <w:rsid w:val="0044398E"/>
    <w:rsid w:val="00443CA6"/>
    <w:rsid w:val="004459ED"/>
    <w:rsid w:val="004465D8"/>
    <w:rsid w:val="0044678A"/>
    <w:rsid w:val="004469D7"/>
    <w:rsid w:val="0044758F"/>
    <w:rsid w:val="004509E7"/>
    <w:rsid w:val="00450BC6"/>
    <w:rsid w:val="00451890"/>
    <w:rsid w:val="00451D5C"/>
    <w:rsid w:val="00452092"/>
    <w:rsid w:val="004533C3"/>
    <w:rsid w:val="00453646"/>
    <w:rsid w:val="00453777"/>
    <w:rsid w:val="004545F5"/>
    <w:rsid w:val="00454B83"/>
    <w:rsid w:val="00456506"/>
    <w:rsid w:val="00456FDB"/>
    <w:rsid w:val="00457388"/>
    <w:rsid w:val="00457957"/>
    <w:rsid w:val="00457A2C"/>
    <w:rsid w:val="004618DE"/>
    <w:rsid w:val="00461BCB"/>
    <w:rsid w:val="00461BE6"/>
    <w:rsid w:val="00462C4D"/>
    <w:rsid w:val="00462E63"/>
    <w:rsid w:val="0046302F"/>
    <w:rsid w:val="00463414"/>
    <w:rsid w:val="00463D4F"/>
    <w:rsid w:val="00463D78"/>
    <w:rsid w:val="00464245"/>
    <w:rsid w:val="00464881"/>
    <w:rsid w:val="00464C8C"/>
    <w:rsid w:val="004655E3"/>
    <w:rsid w:val="00465911"/>
    <w:rsid w:val="00465A65"/>
    <w:rsid w:val="00466D00"/>
    <w:rsid w:val="004673C4"/>
    <w:rsid w:val="00467694"/>
    <w:rsid w:val="00467A13"/>
    <w:rsid w:val="00467AEE"/>
    <w:rsid w:val="00470D90"/>
    <w:rsid w:val="004720A8"/>
    <w:rsid w:val="0047395F"/>
    <w:rsid w:val="004740CB"/>
    <w:rsid w:val="00475455"/>
    <w:rsid w:val="004755D0"/>
    <w:rsid w:val="00475675"/>
    <w:rsid w:val="0047639A"/>
    <w:rsid w:val="004767B5"/>
    <w:rsid w:val="004772D7"/>
    <w:rsid w:val="00477544"/>
    <w:rsid w:val="00480480"/>
    <w:rsid w:val="0048077F"/>
    <w:rsid w:val="004824A8"/>
    <w:rsid w:val="00482C1A"/>
    <w:rsid w:val="004838D4"/>
    <w:rsid w:val="00484106"/>
    <w:rsid w:val="0048426E"/>
    <w:rsid w:val="0048462A"/>
    <w:rsid w:val="00484C31"/>
    <w:rsid w:val="00484E36"/>
    <w:rsid w:val="00485503"/>
    <w:rsid w:val="00485B02"/>
    <w:rsid w:val="00485DBB"/>
    <w:rsid w:val="00486A68"/>
    <w:rsid w:val="00486F90"/>
    <w:rsid w:val="00487702"/>
    <w:rsid w:val="00487D00"/>
    <w:rsid w:val="00491590"/>
    <w:rsid w:val="004919AE"/>
    <w:rsid w:val="00491C47"/>
    <w:rsid w:val="00492981"/>
    <w:rsid w:val="00492C01"/>
    <w:rsid w:val="004931AE"/>
    <w:rsid w:val="004936FA"/>
    <w:rsid w:val="00493BF8"/>
    <w:rsid w:val="004944F2"/>
    <w:rsid w:val="00496F15"/>
    <w:rsid w:val="004970C2"/>
    <w:rsid w:val="004A08D5"/>
    <w:rsid w:val="004A08DD"/>
    <w:rsid w:val="004A0B56"/>
    <w:rsid w:val="004A0C3F"/>
    <w:rsid w:val="004A16E7"/>
    <w:rsid w:val="004A1F6D"/>
    <w:rsid w:val="004A2910"/>
    <w:rsid w:val="004A29B4"/>
    <w:rsid w:val="004A2BA0"/>
    <w:rsid w:val="004A336D"/>
    <w:rsid w:val="004A37F6"/>
    <w:rsid w:val="004A3CAD"/>
    <w:rsid w:val="004A3E26"/>
    <w:rsid w:val="004A4D8C"/>
    <w:rsid w:val="004A4DF4"/>
    <w:rsid w:val="004A534C"/>
    <w:rsid w:val="004A58E9"/>
    <w:rsid w:val="004A5A18"/>
    <w:rsid w:val="004A5F71"/>
    <w:rsid w:val="004A62EE"/>
    <w:rsid w:val="004A7A49"/>
    <w:rsid w:val="004A7DB3"/>
    <w:rsid w:val="004B01FD"/>
    <w:rsid w:val="004B0459"/>
    <w:rsid w:val="004B0FE2"/>
    <w:rsid w:val="004B171B"/>
    <w:rsid w:val="004B1B4D"/>
    <w:rsid w:val="004B1DC2"/>
    <w:rsid w:val="004B1E68"/>
    <w:rsid w:val="004B2170"/>
    <w:rsid w:val="004B219A"/>
    <w:rsid w:val="004B2DD6"/>
    <w:rsid w:val="004B393D"/>
    <w:rsid w:val="004B3D77"/>
    <w:rsid w:val="004B40F8"/>
    <w:rsid w:val="004B5239"/>
    <w:rsid w:val="004B6378"/>
    <w:rsid w:val="004B65AF"/>
    <w:rsid w:val="004B6F76"/>
    <w:rsid w:val="004B7647"/>
    <w:rsid w:val="004C001A"/>
    <w:rsid w:val="004C0598"/>
    <w:rsid w:val="004C064C"/>
    <w:rsid w:val="004C0C96"/>
    <w:rsid w:val="004C20B4"/>
    <w:rsid w:val="004C2693"/>
    <w:rsid w:val="004C2C5E"/>
    <w:rsid w:val="004C34A1"/>
    <w:rsid w:val="004C3BE7"/>
    <w:rsid w:val="004C4446"/>
    <w:rsid w:val="004C4597"/>
    <w:rsid w:val="004C46FB"/>
    <w:rsid w:val="004C47F5"/>
    <w:rsid w:val="004C5019"/>
    <w:rsid w:val="004C5456"/>
    <w:rsid w:val="004C5C32"/>
    <w:rsid w:val="004C64E2"/>
    <w:rsid w:val="004C67BC"/>
    <w:rsid w:val="004C6A37"/>
    <w:rsid w:val="004C71E2"/>
    <w:rsid w:val="004C7F02"/>
    <w:rsid w:val="004D02A3"/>
    <w:rsid w:val="004D0971"/>
    <w:rsid w:val="004D13C4"/>
    <w:rsid w:val="004D1B09"/>
    <w:rsid w:val="004D1E8A"/>
    <w:rsid w:val="004D2996"/>
    <w:rsid w:val="004D2A1E"/>
    <w:rsid w:val="004D2FAC"/>
    <w:rsid w:val="004D3125"/>
    <w:rsid w:val="004D3131"/>
    <w:rsid w:val="004D3F7A"/>
    <w:rsid w:val="004D5DB0"/>
    <w:rsid w:val="004D6968"/>
    <w:rsid w:val="004D6D4C"/>
    <w:rsid w:val="004D7351"/>
    <w:rsid w:val="004D78B8"/>
    <w:rsid w:val="004E1049"/>
    <w:rsid w:val="004E2FA5"/>
    <w:rsid w:val="004E3DDF"/>
    <w:rsid w:val="004E4B8E"/>
    <w:rsid w:val="004E4C24"/>
    <w:rsid w:val="004E5C38"/>
    <w:rsid w:val="004E6768"/>
    <w:rsid w:val="004E76AC"/>
    <w:rsid w:val="004E78FC"/>
    <w:rsid w:val="004E7F7E"/>
    <w:rsid w:val="004F011B"/>
    <w:rsid w:val="004F06FC"/>
    <w:rsid w:val="004F0813"/>
    <w:rsid w:val="004F08F5"/>
    <w:rsid w:val="004F0E2A"/>
    <w:rsid w:val="004F12AE"/>
    <w:rsid w:val="004F153F"/>
    <w:rsid w:val="004F1E4C"/>
    <w:rsid w:val="004F291D"/>
    <w:rsid w:val="004F3911"/>
    <w:rsid w:val="004F3D28"/>
    <w:rsid w:val="004F4BF7"/>
    <w:rsid w:val="004F4C73"/>
    <w:rsid w:val="004F51EB"/>
    <w:rsid w:val="004F5321"/>
    <w:rsid w:val="004F59C4"/>
    <w:rsid w:val="004F62C6"/>
    <w:rsid w:val="004F6CA6"/>
    <w:rsid w:val="004F6DD8"/>
    <w:rsid w:val="004F7542"/>
    <w:rsid w:val="00500521"/>
    <w:rsid w:val="0050096F"/>
    <w:rsid w:val="00501304"/>
    <w:rsid w:val="00501BB8"/>
    <w:rsid w:val="005020DC"/>
    <w:rsid w:val="005025EF"/>
    <w:rsid w:val="0050405C"/>
    <w:rsid w:val="005045EB"/>
    <w:rsid w:val="005050A4"/>
    <w:rsid w:val="00505267"/>
    <w:rsid w:val="00505E3A"/>
    <w:rsid w:val="00506331"/>
    <w:rsid w:val="00506DA6"/>
    <w:rsid w:val="00506E77"/>
    <w:rsid w:val="00507871"/>
    <w:rsid w:val="00507B81"/>
    <w:rsid w:val="00507CB9"/>
    <w:rsid w:val="005108C3"/>
    <w:rsid w:val="00511628"/>
    <w:rsid w:val="00511E20"/>
    <w:rsid w:val="0051215D"/>
    <w:rsid w:val="005122FA"/>
    <w:rsid w:val="005123BA"/>
    <w:rsid w:val="00512439"/>
    <w:rsid w:val="00512565"/>
    <w:rsid w:val="00512A47"/>
    <w:rsid w:val="00512C1D"/>
    <w:rsid w:val="00513B58"/>
    <w:rsid w:val="00513F23"/>
    <w:rsid w:val="0051491D"/>
    <w:rsid w:val="00514C9F"/>
    <w:rsid w:val="00514E37"/>
    <w:rsid w:val="00514F34"/>
    <w:rsid w:val="00515426"/>
    <w:rsid w:val="0051583A"/>
    <w:rsid w:val="00515958"/>
    <w:rsid w:val="00516135"/>
    <w:rsid w:val="0051615D"/>
    <w:rsid w:val="005164E5"/>
    <w:rsid w:val="005177DB"/>
    <w:rsid w:val="00517F7B"/>
    <w:rsid w:val="00517FAF"/>
    <w:rsid w:val="0052092A"/>
    <w:rsid w:val="00520A14"/>
    <w:rsid w:val="00520BDD"/>
    <w:rsid w:val="00521269"/>
    <w:rsid w:val="005224DB"/>
    <w:rsid w:val="00522590"/>
    <w:rsid w:val="00524634"/>
    <w:rsid w:val="005251CA"/>
    <w:rsid w:val="00525BDF"/>
    <w:rsid w:val="0052663E"/>
    <w:rsid w:val="00526C63"/>
    <w:rsid w:val="00527B8C"/>
    <w:rsid w:val="005303BC"/>
    <w:rsid w:val="005306F0"/>
    <w:rsid w:val="00531102"/>
    <w:rsid w:val="00531CEF"/>
    <w:rsid w:val="00531D67"/>
    <w:rsid w:val="0053207F"/>
    <w:rsid w:val="005320B0"/>
    <w:rsid w:val="005330FF"/>
    <w:rsid w:val="00533D0A"/>
    <w:rsid w:val="005344B3"/>
    <w:rsid w:val="00535B95"/>
    <w:rsid w:val="0053642D"/>
    <w:rsid w:val="0053717D"/>
    <w:rsid w:val="00537792"/>
    <w:rsid w:val="0053780F"/>
    <w:rsid w:val="00537BC0"/>
    <w:rsid w:val="00537CE8"/>
    <w:rsid w:val="005402A6"/>
    <w:rsid w:val="0054124E"/>
    <w:rsid w:val="00541A0F"/>
    <w:rsid w:val="00542008"/>
    <w:rsid w:val="0054202B"/>
    <w:rsid w:val="005424C3"/>
    <w:rsid w:val="005425A0"/>
    <w:rsid w:val="005429D7"/>
    <w:rsid w:val="00542BA5"/>
    <w:rsid w:val="005439CB"/>
    <w:rsid w:val="00543ABF"/>
    <w:rsid w:val="00543C1B"/>
    <w:rsid w:val="00544396"/>
    <w:rsid w:val="0054488E"/>
    <w:rsid w:val="00544F56"/>
    <w:rsid w:val="00544FD9"/>
    <w:rsid w:val="0054604E"/>
    <w:rsid w:val="005463D5"/>
    <w:rsid w:val="00546CC2"/>
    <w:rsid w:val="00547AD9"/>
    <w:rsid w:val="00547BDD"/>
    <w:rsid w:val="00547D56"/>
    <w:rsid w:val="005501F1"/>
    <w:rsid w:val="005505E2"/>
    <w:rsid w:val="00550EC1"/>
    <w:rsid w:val="0055151D"/>
    <w:rsid w:val="00551C99"/>
    <w:rsid w:val="005523AA"/>
    <w:rsid w:val="00552A0B"/>
    <w:rsid w:val="00552AC3"/>
    <w:rsid w:val="005533A6"/>
    <w:rsid w:val="00553790"/>
    <w:rsid w:val="00553A87"/>
    <w:rsid w:val="005542EC"/>
    <w:rsid w:val="005548B2"/>
    <w:rsid w:val="005549D5"/>
    <w:rsid w:val="00554D41"/>
    <w:rsid w:val="00554F55"/>
    <w:rsid w:val="005555ED"/>
    <w:rsid w:val="0055576B"/>
    <w:rsid w:val="0055784D"/>
    <w:rsid w:val="00557E77"/>
    <w:rsid w:val="00560BDC"/>
    <w:rsid w:val="00561CAE"/>
    <w:rsid w:val="0056257E"/>
    <w:rsid w:val="0056270C"/>
    <w:rsid w:val="00562F11"/>
    <w:rsid w:val="0056351C"/>
    <w:rsid w:val="00563631"/>
    <w:rsid w:val="005640F9"/>
    <w:rsid w:val="005646E6"/>
    <w:rsid w:val="0056473F"/>
    <w:rsid w:val="005647D8"/>
    <w:rsid w:val="00564A4C"/>
    <w:rsid w:val="005656F5"/>
    <w:rsid w:val="005667FF"/>
    <w:rsid w:val="00566B76"/>
    <w:rsid w:val="00567056"/>
    <w:rsid w:val="00567223"/>
    <w:rsid w:val="005675CC"/>
    <w:rsid w:val="00570586"/>
    <w:rsid w:val="00570652"/>
    <w:rsid w:val="0057072E"/>
    <w:rsid w:val="00570AAC"/>
    <w:rsid w:val="005713EF"/>
    <w:rsid w:val="0057170D"/>
    <w:rsid w:val="00571CFD"/>
    <w:rsid w:val="005722FD"/>
    <w:rsid w:val="00573270"/>
    <w:rsid w:val="0057377A"/>
    <w:rsid w:val="00573A60"/>
    <w:rsid w:val="00573B9B"/>
    <w:rsid w:val="005740CE"/>
    <w:rsid w:val="00574569"/>
    <w:rsid w:val="00574936"/>
    <w:rsid w:val="00574E00"/>
    <w:rsid w:val="00575D70"/>
    <w:rsid w:val="00576497"/>
    <w:rsid w:val="00577B15"/>
    <w:rsid w:val="00580034"/>
    <w:rsid w:val="00580755"/>
    <w:rsid w:val="00581165"/>
    <w:rsid w:val="00581604"/>
    <w:rsid w:val="005823FF"/>
    <w:rsid w:val="00582B66"/>
    <w:rsid w:val="005833A9"/>
    <w:rsid w:val="005844E8"/>
    <w:rsid w:val="005845DD"/>
    <w:rsid w:val="00584C0E"/>
    <w:rsid w:val="005853BA"/>
    <w:rsid w:val="00585827"/>
    <w:rsid w:val="00585A78"/>
    <w:rsid w:val="00585EED"/>
    <w:rsid w:val="00586195"/>
    <w:rsid w:val="00586A4F"/>
    <w:rsid w:val="0059036F"/>
    <w:rsid w:val="005903EC"/>
    <w:rsid w:val="00590706"/>
    <w:rsid w:val="005907EA"/>
    <w:rsid w:val="0059084D"/>
    <w:rsid w:val="005915F6"/>
    <w:rsid w:val="0059165F"/>
    <w:rsid w:val="00591D04"/>
    <w:rsid w:val="005930F8"/>
    <w:rsid w:val="00593328"/>
    <w:rsid w:val="00593B6D"/>
    <w:rsid w:val="005960D1"/>
    <w:rsid w:val="0059694D"/>
    <w:rsid w:val="00596CFB"/>
    <w:rsid w:val="00596E62"/>
    <w:rsid w:val="005977A2"/>
    <w:rsid w:val="00597B51"/>
    <w:rsid w:val="005A020F"/>
    <w:rsid w:val="005A0D31"/>
    <w:rsid w:val="005A10AD"/>
    <w:rsid w:val="005A1678"/>
    <w:rsid w:val="005A19F2"/>
    <w:rsid w:val="005A1F5A"/>
    <w:rsid w:val="005A21FB"/>
    <w:rsid w:val="005A2223"/>
    <w:rsid w:val="005A25D3"/>
    <w:rsid w:val="005A27C7"/>
    <w:rsid w:val="005A2A36"/>
    <w:rsid w:val="005A2DD8"/>
    <w:rsid w:val="005A3827"/>
    <w:rsid w:val="005A3FC7"/>
    <w:rsid w:val="005A3FE0"/>
    <w:rsid w:val="005A4C5B"/>
    <w:rsid w:val="005A5857"/>
    <w:rsid w:val="005A59FE"/>
    <w:rsid w:val="005A5F5A"/>
    <w:rsid w:val="005A6AD1"/>
    <w:rsid w:val="005B034A"/>
    <w:rsid w:val="005B03CD"/>
    <w:rsid w:val="005B1366"/>
    <w:rsid w:val="005B14B4"/>
    <w:rsid w:val="005B1552"/>
    <w:rsid w:val="005B2303"/>
    <w:rsid w:val="005B239A"/>
    <w:rsid w:val="005B27C1"/>
    <w:rsid w:val="005B2B31"/>
    <w:rsid w:val="005B2D08"/>
    <w:rsid w:val="005B2E1E"/>
    <w:rsid w:val="005B3191"/>
    <w:rsid w:val="005B3316"/>
    <w:rsid w:val="005B35D0"/>
    <w:rsid w:val="005B5463"/>
    <w:rsid w:val="005B54E3"/>
    <w:rsid w:val="005B5775"/>
    <w:rsid w:val="005B5993"/>
    <w:rsid w:val="005B5C87"/>
    <w:rsid w:val="005B78BA"/>
    <w:rsid w:val="005B7D10"/>
    <w:rsid w:val="005B7DA7"/>
    <w:rsid w:val="005B7E6D"/>
    <w:rsid w:val="005C07B4"/>
    <w:rsid w:val="005C0CC7"/>
    <w:rsid w:val="005C0FEF"/>
    <w:rsid w:val="005C1161"/>
    <w:rsid w:val="005C14FB"/>
    <w:rsid w:val="005C1B0E"/>
    <w:rsid w:val="005C2506"/>
    <w:rsid w:val="005C35B3"/>
    <w:rsid w:val="005C3AF3"/>
    <w:rsid w:val="005C4E92"/>
    <w:rsid w:val="005C583A"/>
    <w:rsid w:val="005C583D"/>
    <w:rsid w:val="005C6087"/>
    <w:rsid w:val="005C7695"/>
    <w:rsid w:val="005D0730"/>
    <w:rsid w:val="005D0940"/>
    <w:rsid w:val="005D1154"/>
    <w:rsid w:val="005D190C"/>
    <w:rsid w:val="005D255C"/>
    <w:rsid w:val="005D2986"/>
    <w:rsid w:val="005D2BF1"/>
    <w:rsid w:val="005D2EAE"/>
    <w:rsid w:val="005D300D"/>
    <w:rsid w:val="005D4298"/>
    <w:rsid w:val="005D4C61"/>
    <w:rsid w:val="005D54EB"/>
    <w:rsid w:val="005D6F2A"/>
    <w:rsid w:val="005D7021"/>
    <w:rsid w:val="005D74C4"/>
    <w:rsid w:val="005D7887"/>
    <w:rsid w:val="005E07AB"/>
    <w:rsid w:val="005E10F1"/>
    <w:rsid w:val="005E151B"/>
    <w:rsid w:val="005E1A1F"/>
    <w:rsid w:val="005E1B0C"/>
    <w:rsid w:val="005E1C76"/>
    <w:rsid w:val="005E2932"/>
    <w:rsid w:val="005E2C07"/>
    <w:rsid w:val="005E356C"/>
    <w:rsid w:val="005E3737"/>
    <w:rsid w:val="005E3899"/>
    <w:rsid w:val="005E3AF1"/>
    <w:rsid w:val="005E3BF8"/>
    <w:rsid w:val="005E4888"/>
    <w:rsid w:val="005E5719"/>
    <w:rsid w:val="005E585F"/>
    <w:rsid w:val="005E61A7"/>
    <w:rsid w:val="005E67DF"/>
    <w:rsid w:val="005E71DA"/>
    <w:rsid w:val="005E7B5C"/>
    <w:rsid w:val="005F00FF"/>
    <w:rsid w:val="005F03B3"/>
    <w:rsid w:val="005F0824"/>
    <w:rsid w:val="005F0AAD"/>
    <w:rsid w:val="005F1F6A"/>
    <w:rsid w:val="005F23AA"/>
    <w:rsid w:val="005F3098"/>
    <w:rsid w:val="005F4911"/>
    <w:rsid w:val="005F5988"/>
    <w:rsid w:val="005F59D1"/>
    <w:rsid w:val="005F71A0"/>
    <w:rsid w:val="005F76CB"/>
    <w:rsid w:val="005F77B4"/>
    <w:rsid w:val="005F7BB2"/>
    <w:rsid w:val="005F7E2D"/>
    <w:rsid w:val="00600671"/>
    <w:rsid w:val="00600B37"/>
    <w:rsid w:val="00601038"/>
    <w:rsid w:val="00601242"/>
    <w:rsid w:val="00601A31"/>
    <w:rsid w:val="00602463"/>
    <w:rsid w:val="006037C4"/>
    <w:rsid w:val="00603B1A"/>
    <w:rsid w:val="00604592"/>
    <w:rsid w:val="00604DA8"/>
    <w:rsid w:val="00605077"/>
    <w:rsid w:val="006054A4"/>
    <w:rsid w:val="00606C8D"/>
    <w:rsid w:val="006077E9"/>
    <w:rsid w:val="006101EB"/>
    <w:rsid w:val="006101F0"/>
    <w:rsid w:val="00611694"/>
    <w:rsid w:val="00612693"/>
    <w:rsid w:val="0061304F"/>
    <w:rsid w:val="006132AC"/>
    <w:rsid w:val="0061344B"/>
    <w:rsid w:val="00613634"/>
    <w:rsid w:val="00613C54"/>
    <w:rsid w:val="00613F5E"/>
    <w:rsid w:val="006141E7"/>
    <w:rsid w:val="006157AB"/>
    <w:rsid w:val="00615A98"/>
    <w:rsid w:val="00615CBA"/>
    <w:rsid w:val="00616232"/>
    <w:rsid w:val="0061641F"/>
    <w:rsid w:val="006168B2"/>
    <w:rsid w:val="00616906"/>
    <w:rsid w:val="0061694A"/>
    <w:rsid w:val="00617960"/>
    <w:rsid w:val="006179FE"/>
    <w:rsid w:val="00617EA5"/>
    <w:rsid w:val="006201CE"/>
    <w:rsid w:val="00620778"/>
    <w:rsid w:val="00620B8D"/>
    <w:rsid w:val="006210B0"/>
    <w:rsid w:val="00621B74"/>
    <w:rsid w:val="006223EB"/>
    <w:rsid w:val="00622782"/>
    <w:rsid w:val="00623C01"/>
    <w:rsid w:val="00623D14"/>
    <w:rsid w:val="00624D47"/>
    <w:rsid w:val="00624E86"/>
    <w:rsid w:val="00624F56"/>
    <w:rsid w:val="00625A77"/>
    <w:rsid w:val="00625C14"/>
    <w:rsid w:val="006266BE"/>
    <w:rsid w:val="00626869"/>
    <w:rsid w:val="006271A4"/>
    <w:rsid w:val="0062764D"/>
    <w:rsid w:val="00627F1B"/>
    <w:rsid w:val="00631CEF"/>
    <w:rsid w:val="00631DAE"/>
    <w:rsid w:val="0063236F"/>
    <w:rsid w:val="006330D1"/>
    <w:rsid w:val="00633791"/>
    <w:rsid w:val="00634E0C"/>
    <w:rsid w:val="00634F3C"/>
    <w:rsid w:val="00634F81"/>
    <w:rsid w:val="006350A5"/>
    <w:rsid w:val="006353A7"/>
    <w:rsid w:val="006356D1"/>
    <w:rsid w:val="00635FB4"/>
    <w:rsid w:val="0063669E"/>
    <w:rsid w:val="00636C74"/>
    <w:rsid w:val="00637903"/>
    <w:rsid w:val="00637AAD"/>
    <w:rsid w:val="00637DE3"/>
    <w:rsid w:val="00640117"/>
    <w:rsid w:val="00641428"/>
    <w:rsid w:val="00641559"/>
    <w:rsid w:val="00641BE3"/>
    <w:rsid w:val="006428DE"/>
    <w:rsid w:val="00642CB1"/>
    <w:rsid w:val="00642FC2"/>
    <w:rsid w:val="0064383E"/>
    <w:rsid w:val="00643E51"/>
    <w:rsid w:val="00644217"/>
    <w:rsid w:val="0064425A"/>
    <w:rsid w:val="006444D7"/>
    <w:rsid w:val="006445A7"/>
    <w:rsid w:val="00650C7F"/>
    <w:rsid w:val="006514C0"/>
    <w:rsid w:val="006515AD"/>
    <w:rsid w:val="00651F01"/>
    <w:rsid w:val="00652164"/>
    <w:rsid w:val="00652274"/>
    <w:rsid w:val="006522C0"/>
    <w:rsid w:val="00652E83"/>
    <w:rsid w:val="006538BE"/>
    <w:rsid w:val="006548FD"/>
    <w:rsid w:val="00654AB5"/>
    <w:rsid w:val="00655291"/>
    <w:rsid w:val="006559C5"/>
    <w:rsid w:val="00656D35"/>
    <w:rsid w:val="00657163"/>
    <w:rsid w:val="0065775C"/>
    <w:rsid w:val="006578BD"/>
    <w:rsid w:val="00657942"/>
    <w:rsid w:val="006602B4"/>
    <w:rsid w:val="00660ADB"/>
    <w:rsid w:val="00660F76"/>
    <w:rsid w:val="00661C98"/>
    <w:rsid w:val="00662FFA"/>
    <w:rsid w:val="00663C35"/>
    <w:rsid w:val="00663D12"/>
    <w:rsid w:val="00663F4D"/>
    <w:rsid w:val="006653C1"/>
    <w:rsid w:val="006654B4"/>
    <w:rsid w:val="00665AF7"/>
    <w:rsid w:val="00665C4C"/>
    <w:rsid w:val="00665D19"/>
    <w:rsid w:val="00665FDC"/>
    <w:rsid w:val="006661BD"/>
    <w:rsid w:val="00666E0F"/>
    <w:rsid w:val="006673DA"/>
    <w:rsid w:val="00667A59"/>
    <w:rsid w:val="00667D67"/>
    <w:rsid w:val="00667E18"/>
    <w:rsid w:val="00667EE8"/>
    <w:rsid w:val="0067006F"/>
    <w:rsid w:val="006704B8"/>
    <w:rsid w:val="0067112F"/>
    <w:rsid w:val="0067138E"/>
    <w:rsid w:val="00671BA3"/>
    <w:rsid w:val="006725BF"/>
    <w:rsid w:val="00673523"/>
    <w:rsid w:val="00673587"/>
    <w:rsid w:val="00673732"/>
    <w:rsid w:val="00673AF1"/>
    <w:rsid w:val="00673BAA"/>
    <w:rsid w:val="00673E92"/>
    <w:rsid w:val="006740F9"/>
    <w:rsid w:val="006744C7"/>
    <w:rsid w:val="006749AC"/>
    <w:rsid w:val="00674F4B"/>
    <w:rsid w:val="006750A9"/>
    <w:rsid w:val="00675135"/>
    <w:rsid w:val="00675182"/>
    <w:rsid w:val="0067557F"/>
    <w:rsid w:val="00675B7C"/>
    <w:rsid w:val="00676B92"/>
    <w:rsid w:val="00676F39"/>
    <w:rsid w:val="00677583"/>
    <w:rsid w:val="00680468"/>
    <w:rsid w:val="00680474"/>
    <w:rsid w:val="00680614"/>
    <w:rsid w:val="006806EE"/>
    <w:rsid w:val="006806F3"/>
    <w:rsid w:val="00680AD4"/>
    <w:rsid w:val="00680B17"/>
    <w:rsid w:val="00680EE9"/>
    <w:rsid w:val="00681547"/>
    <w:rsid w:val="0068203C"/>
    <w:rsid w:val="00682555"/>
    <w:rsid w:val="00682B7B"/>
    <w:rsid w:val="0068306B"/>
    <w:rsid w:val="00683338"/>
    <w:rsid w:val="00683DE5"/>
    <w:rsid w:val="00684800"/>
    <w:rsid w:val="00684C0F"/>
    <w:rsid w:val="00685338"/>
    <w:rsid w:val="006856F7"/>
    <w:rsid w:val="00685D1A"/>
    <w:rsid w:val="00686D9C"/>
    <w:rsid w:val="00686E69"/>
    <w:rsid w:val="00687619"/>
    <w:rsid w:val="00687AFF"/>
    <w:rsid w:val="00690CBC"/>
    <w:rsid w:val="006911C5"/>
    <w:rsid w:val="006917F1"/>
    <w:rsid w:val="00691C14"/>
    <w:rsid w:val="00692030"/>
    <w:rsid w:val="006925BF"/>
    <w:rsid w:val="00692721"/>
    <w:rsid w:val="006941EB"/>
    <w:rsid w:val="00694493"/>
    <w:rsid w:val="00694C3A"/>
    <w:rsid w:val="006958C8"/>
    <w:rsid w:val="0069658D"/>
    <w:rsid w:val="00696B15"/>
    <w:rsid w:val="006970DD"/>
    <w:rsid w:val="00697157"/>
    <w:rsid w:val="00697C80"/>
    <w:rsid w:val="006A04BD"/>
    <w:rsid w:val="006A08FA"/>
    <w:rsid w:val="006A0CEE"/>
    <w:rsid w:val="006A197F"/>
    <w:rsid w:val="006A2C9B"/>
    <w:rsid w:val="006A2D87"/>
    <w:rsid w:val="006A2E84"/>
    <w:rsid w:val="006A3186"/>
    <w:rsid w:val="006A329C"/>
    <w:rsid w:val="006A3600"/>
    <w:rsid w:val="006A3893"/>
    <w:rsid w:val="006A421D"/>
    <w:rsid w:val="006A458E"/>
    <w:rsid w:val="006A4A9B"/>
    <w:rsid w:val="006A4CFD"/>
    <w:rsid w:val="006A504E"/>
    <w:rsid w:val="006A574B"/>
    <w:rsid w:val="006A5888"/>
    <w:rsid w:val="006A5FC5"/>
    <w:rsid w:val="006A648C"/>
    <w:rsid w:val="006A6857"/>
    <w:rsid w:val="006A6E8D"/>
    <w:rsid w:val="006A7521"/>
    <w:rsid w:val="006B006C"/>
    <w:rsid w:val="006B02FB"/>
    <w:rsid w:val="006B09C3"/>
    <w:rsid w:val="006B0ED6"/>
    <w:rsid w:val="006B11EF"/>
    <w:rsid w:val="006B1414"/>
    <w:rsid w:val="006B199F"/>
    <w:rsid w:val="006B1ABE"/>
    <w:rsid w:val="006B24C3"/>
    <w:rsid w:val="006B2A19"/>
    <w:rsid w:val="006B2DAF"/>
    <w:rsid w:val="006B2EC5"/>
    <w:rsid w:val="006B37C0"/>
    <w:rsid w:val="006B3F5B"/>
    <w:rsid w:val="006B5548"/>
    <w:rsid w:val="006B5C2E"/>
    <w:rsid w:val="006B5FB4"/>
    <w:rsid w:val="006B6B47"/>
    <w:rsid w:val="006B6EDE"/>
    <w:rsid w:val="006B6F8C"/>
    <w:rsid w:val="006B7882"/>
    <w:rsid w:val="006B7886"/>
    <w:rsid w:val="006B7895"/>
    <w:rsid w:val="006C149E"/>
    <w:rsid w:val="006C2871"/>
    <w:rsid w:val="006C33F6"/>
    <w:rsid w:val="006C39A9"/>
    <w:rsid w:val="006C412F"/>
    <w:rsid w:val="006C423A"/>
    <w:rsid w:val="006C4585"/>
    <w:rsid w:val="006C5EEE"/>
    <w:rsid w:val="006C64B0"/>
    <w:rsid w:val="006C6821"/>
    <w:rsid w:val="006D0224"/>
    <w:rsid w:val="006D1124"/>
    <w:rsid w:val="006D13A8"/>
    <w:rsid w:val="006D1786"/>
    <w:rsid w:val="006D1FFF"/>
    <w:rsid w:val="006D2B35"/>
    <w:rsid w:val="006D314A"/>
    <w:rsid w:val="006D31F2"/>
    <w:rsid w:val="006D3230"/>
    <w:rsid w:val="006D5199"/>
    <w:rsid w:val="006D55DF"/>
    <w:rsid w:val="006D67BA"/>
    <w:rsid w:val="006D6918"/>
    <w:rsid w:val="006D6C0A"/>
    <w:rsid w:val="006D71B2"/>
    <w:rsid w:val="006D71F8"/>
    <w:rsid w:val="006D76ED"/>
    <w:rsid w:val="006E0B0F"/>
    <w:rsid w:val="006E279E"/>
    <w:rsid w:val="006E296A"/>
    <w:rsid w:val="006E3201"/>
    <w:rsid w:val="006E3B10"/>
    <w:rsid w:val="006E43B2"/>
    <w:rsid w:val="006E43F7"/>
    <w:rsid w:val="006E4ABF"/>
    <w:rsid w:val="006E4B26"/>
    <w:rsid w:val="006E4C16"/>
    <w:rsid w:val="006E55A4"/>
    <w:rsid w:val="006E5DE7"/>
    <w:rsid w:val="006E6533"/>
    <w:rsid w:val="006E6A58"/>
    <w:rsid w:val="006E6B5D"/>
    <w:rsid w:val="006E7004"/>
    <w:rsid w:val="006E7896"/>
    <w:rsid w:val="006E7956"/>
    <w:rsid w:val="006E7BEB"/>
    <w:rsid w:val="006F02BC"/>
    <w:rsid w:val="006F093B"/>
    <w:rsid w:val="006F0EF7"/>
    <w:rsid w:val="006F1AF7"/>
    <w:rsid w:val="006F1C18"/>
    <w:rsid w:val="006F31F9"/>
    <w:rsid w:val="006F359B"/>
    <w:rsid w:val="006F3B03"/>
    <w:rsid w:val="006F403A"/>
    <w:rsid w:val="006F40D6"/>
    <w:rsid w:val="006F46F2"/>
    <w:rsid w:val="006F4A0B"/>
    <w:rsid w:val="006F4B9D"/>
    <w:rsid w:val="006F4E54"/>
    <w:rsid w:val="006F57E2"/>
    <w:rsid w:val="006F5C3F"/>
    <w:rsid w:val="006F62BA"/>
    <w:rsid w:val="006F63C1"/>
    <w:rsid w:val="006F6B28"/>
    <w:rsid w:val="006F790B"/>
    <w:rsid w:val="006F7958"/>
    <w:rsid w:val="0070013A"/>
    <w:rsid w:val="007007C0"/>
    <w:rsid w:val="00701A28"/>
    <w:rsid w:val="00701D67"/>
    <w:rsid w:val="007024A5"/>
    <w:rsid w:val="00702C71"/>
    <w:rsid w:val="00702E29"/>
    <w:rsid w:val="007030C4"/>
    <w:rsid w:val="0070333D"/>
    <w:rsid w:val="00703521"/>
    <w:rsid w:val="00703963"/>
    <w:rsid w:val="00703C8C"/>
    <w:rsid w:val="00703DF9"/>
    <w:rsid w:val="00703F9B"/>
    <w:rsid w:val="00704259"/>
    <w:rsid w:val="00705B6B"/>
    <w:rsid w:val="00705BBC"/>
    <w:rsid w:val="00705E14"/>
    <w:rsid w:val="00705F5E"/>
    <w:rsid w:val="00706657"/>
    <w:rsid w:val="00707115"/>
    <w:rsid w:val="007072EF"/>
    <w:rsid w:val="007073CE"/>
    <w:rsid w:val="00707D76"/>
    <w:rsid w:val="00707F68"/>
    <w:rsid w:val="007102A2"/>
    <w:rsid w:val="00710478"/>
    <w:rsid w:val="007110AE"/>
    <w:rsid w:val="00711387"/>
    <w:rsid w:val="00711662"/>
    <w:rsid w:val="007118BE"/>
    <w:rsid w:val="00711ED2"/>
    <w:rsid w:val="0071205C"/>
    <w:rsid w:val="007126A9"/>
    <w:rsid w:val="00712CD2"/>
    <w:rsid w:val="00713762"/>
    <w:rsid w:val="00713F61"/>
    <w:rsid w:val="007141A3"/>
    <w:rsid w:val="0071428E"/>
    <w:rsid w:val="00714E86"/>
    <w:rsid w:val="00714FA0"/>
    <w:rsid w:val="00715B47"/>
    <w:rsid w:val="00715CAC"/>
    <w:rsid w:val="00716493"/>
    <w:rsid w:val="00717AF1"/>
    <w:rsid w:val="00717FCE"/>
    <w:rsid w:val="007208F7"/>
    <w:rsid w:val="00720D5D"/>
    <w:rsid w:val="00722265"/>
    <w:rsid w:val="007223D6"/>
    <w:rsid w:val="00722A6D"/>
    <w:rsid w:val="00722C18"/>
    <w:rsid w:val="00723129"/>
    <w:rsid w:val="00725534"/>
    <w:rsid w:val="007277BE"/>
    <w:rsid w:val="007278A7"/>
    <w:rsid w:val="007306E5"/>
    <w:rsid w:val="00730972"/>
    <w:rsid w:val="00730F1B"/>
    <w:rsid w:val="007315FA"/>
    <w:rsid w:val="007319D2"/>
    <w:rsid w:val="00731FD9"/>
    <w:rsid w:val="00732441"/>
    <w:rsid w:val="0073277C"/>
    <w:rsid w:val="007327AF"/>
    <w:rsid w:val="00732A04"/>
    <w:rsid w:val="00732EFF"/>
    <w:rsid w:val="00732FA0"/>
    <w:rsid w:val="007343AE"/>
    <w:rsid w:val="00734742"/>
    <w:rsid w:val="00734EE7"/>
    <w:rsid w:val="00735128"/>
    <w:rsid w:val="00735CBD"/>
    <w:rsid w:val="007365DD"/>
    <w:rsid w:val="007367A8"/>
    <w:rsid w:val="00736AC9"/>
    <w:rsid w:val="00736AEC"/>
    <w:rsid w:val="00737FD8"/>
    <w:rsid w:val="007401EC"/>
    <w:rsid w:val="00740CF4"/>
    <w:rsid w:val="00741C84"/>
    <w:rsid w:val="007427C1"/>
    <w:rsid w:val="0074339F"/>
    <w:rsid w:val="00743B65"/>
    <w:rsid w:val="00744122"/>
    <w:rsid w:val="007442C0"/>
    <w:rsid w:val="00744345"/>
    <w:rsid w:val="0074474B"/>
    <w:rsid w:val="00744771"/>
    <w:rsid w:val="0074551B"/>
    <w:rsid w:val="00745BB1"/>
    <w:rsid w:val="00745DB4"/>
    <w:rsid w:val="00746130"/>
    <w:rsid w:val="00746322"/>
    <w:rsid w:val="00746CA6"/>
    <w:rsid w:val="007471FB"/>
    <w:rsid w:val="007473CC"/>
    <w:rsid w:val="00747F37"/>
    <w:rsid w:val="00750479"/>
    <w:rsid w:val="007506F8"/>
    <w:rsid w:val="00750729"/>
    <w:rsid w:val="007513F3"/>
    <w:rsid w:val="0075159D"/>
    <w:rsid w:val="00751837"/>
    <w:rsid w:val="007518EF"/>
    <w:rsid w:val="00751FD5"/>
    <w:rsid w:val="00752446"/>
    <w:rsid w:val="00752A07"/>
    <w:rsid w:val="00753003"/>
    <w:rsid w:val="00753A0F"/>
    <w:rsid w:val="00754478"/>
    <w:rsid w:val="007553D8"/>
    <w:rsid w:val="007554B9"/>
    <w:rsid w:val="007555B3"/>
    <w:rsid w:val="00755A56"/>
    <w:rsid w:val="00756665"/>
    <w:rsid w:val="00756C56"/>
    <w:rsid w:val="00756D98"/>
    <w:rsid w:val="00757605"/>
    <w:rsid w:val="00757A83"/>
    <w:rsid w:val="007605FD"/>
    <w:rsid w:val="00760905"/>
    <w:rsid w:val="0076123A"/>
    <w:rsid w:val="00761341"/>
    <w:rsid w:val="007613C4"/>
    <w:rsid w:val="00762ACE"/>
    <w:rsid w:val="00762F33"/>
    <w:rsid w:val="0076334E"/>
    <w:rsid w:val="00763487"/>
    <w:rsid w:val="00763625"/>
    <w:rsid w:val="007640EB"/>
    <w:rsid w:val="007655A9"/>
    <w:rsid w:val="007658BE"/>
    <w:rsid w:val="00765956"/>
    <w:rsid w:val="0076648A"/>
    <w:rsid w:val="00766924"/>
    <w:rsid w:val="007672B6"/>
    <w:rsid w:val="00770DB7"/>
    <w:rsid w:val="00771155"/>
    <w:rsid w:val="0077208B"/>
    <w:rsid w:val="00772F47"/>
    <w:rsid w:val="00773621"/>
    <w:rsid w:val="00773631"/>
    <w:rsid w:val="00773AAC"/>
    <w:rsid w:val="0077428C"/>
    <w:rsid w:val="007746B1"/>
    <w:rsid w:val="00774708"/>
    <w:rsid w:val="00774987"/>
    <w:rsid w:val="00775656"/>
    <w:rsid w:val="00775763"/>
    <w:rsid w:val="007757BE"/>
    <w:rsid w:val="00776E98"/>
    <w:rsid w:val="0077743B"/>
    <w:rsid w:val="007778CE"/>
    <w:rsid w:val="007779B2"/>
    <w:rsid w:val="00780B96"/>
    <w:rsid w:val="00780E4E"/>
    <w:rsid w:val="007814BD"/>
    <w:rsid w:val="007817D4"/>
    <w:rsid w:val="007822FC"/>
    <w:rsid w:val="0078287A"/>
    <w:rsid w:val="00782C71"/>
    <w:rsid w:val="0078340E"/>
    <w:rsid w:val="00783545"/>
    <w:rsid w:val="00783BBA"/>
    <w:rsid w:val="00783D8E"/>
    <w:rsid w:val="00784009"/>
    <w:rsid w:val="0078489A"/>
    <w:rsid w:val="00784996"/>
    <w:rsid w:val="0078584A"/>
    <w:rsid w:val="00786194"/>
    <w:rsid w:val="007862F6"/>
    <w:rsid w:val="0078699B"/>
    <w:rsid w:val="0078724A"/>
    <w:rsid w:val="00787586"/>
    <w:rsid w:val="00787B0F"/>
    <w:rsid w:val="00787C38"/>
    <w:rsid w:val="00790CB4"/>
    <w:rsid w:val="00791C4E"/>
    <w:rsid w:val="00791DE7"/>
    <w:rsid w:val="0079203A"/>
    <w:rsid w:val="0079313A"/>
    <w:rsid w:val="007932B7"/>
    <w:rsid w:val="00793E8F"/>
    <w:rsid w:val="00794454"/>
    <w:rsid w:val="00794BF9"/>
    <w:rsid w:val="007958A1"/>
    <w:rsid w:val="007959A4"/>
    <w:rsid w:val="007959BD"/>
    <w:rsid w:val="0079631C"/>
    <w:rsid w:val="00796CE4"/>
    <w:rsid w:val="0079730A"/>
    <w:rsid w:val="00797974"/>
    <w:rsid w:val="007A0033"/>
    <w:rsid w:val="007A039B"/>
    <w:rsid w:val="007A06DB"/>
    <w:rsid w:val="007A2809"/>
    <w:rsid w:val="007A2F49"/>
    <w:rsid w:val="007A2F4A"/>
    <w:rsid w:val="007A348A"/>
    <w:rsid w:val="007A3BF9"/>
    <w:rsid w:val="007A3CAB"/>
    <w:rsid w:val="007A420E"/>
    <w:rsid w:val="007A43C2"/>
    <w:rsid w:val="007A6424"/>
    <w:rsid w:val="007A6976"/>
    <w:rsid w:val="007A6AEA"/>
    <w:rsid w:val="007A7504"/>
    <w:rsid w:val="007A7572"/>
    <w:rsid w:val="007A7690"/>
    <w:rsid w:val="007A76E8"/>
    <w:rsid w:val="007A7E86"/>
    <w:rsid w:val="007B09CC"/>
    <w:rsid w:val="007B0C8E"/>
    <w:rsid w:val="007B1530"/>
    <w:rsid w:val="007B1E7C"/>
    <w:rsid w:val="007B3E46"/>
    <w:rsid w:val="007B4F84"/>
    <w:rsid w:val="007B5049"/>
    <w:rsid w:val="007B541F"/>
    <w:rsid w:val="007B5773"/>
    <w:rsid w:val="007B6255"/>
    <w:rsid w:val="007B631F"/>
    <w:rsid w:val="007B69C0"/>
    <w:rsid w:val="007C04BB"/>
    <w:rsid w:val="007C0A65"/>
    <w:rsid w:val="007C0D34"/>
    <w:rsid w:val="007C13E1"/>
    <w:rsid w:val="007C2281"/>
    <w:rsid w:val="007C2A70"/>
    <w:rsid w:val="007C2CDB"/>
    <w:rsid w:val="007C2CFF"/>
    <w:rsid w:val="007C32E2"/>
    <w:rsid w:val="007C3750"/>
    <w:rsid w:val="007C50C9"/>
    <w:rsid w:val="007C5AC3"/>
    <w:rsid w:val="007C6C52"/>
    <w:rsid w:val="007C6F2F"/>
    <w:rsid w:val="007C727E"/>
    <w:rsid w:val="007C74DE"/>
    <w:rsid w:val="007C77FD"/>
    <w:rsid w:val="007D0612"/>
    <w:rsid w:val="007D06E0"/>
    <w:rsid w:val="007D097E"/>
    <w:rsid w:val="007D0DC1"/>
    <w:rsid w:val="007D1D9C"/>
    <w:rsid w:val="007D1E59"/>
    <w:rsid w:val="007D333E"/>
    <w:rsid w:val="007D3FD2"/>
    <w:rsid w:val="007D425F"/>
    <w:rsid w:val="007D4974"/>
    <w:rsid w:val="007D4C18"/>
    <w:rsid w:val="007D5298"/>
    <w:rsid w:val="007D5634"/>
    <w:rsid w:val="007D5BFC"/>
    <w:rsid w:val="007D5D59"/>
    <w:rsid w:val="007D608A"/>
    <w:rsid w:val="007D6461"/>
    <w:rsid w:val="007D70D9"/>
    <w:rsid w:val="007D749F"/>
    <w:rsid w:val="007D7D48"/>
    <w:rsid w:val="007E0591"/>
    <w:rsid w:val="007E05E6"/>
    <w:rsid w:val="007E117A"/>
    <w:rsid w:val="007E2A4B"/>
    <w:rsid w:val="007E30D5"/>
    <w:rsid w:val="007E35A7"/>
    <w:rsid w:val="007E3898"/>
    <w:rsid w:val="007E41F6"/>
    <w:rsid w:val="007E471A"/>
    <w:rsid w:val="007E471B"/>
    <w:rsid w:val="007E47C8"/>
    <w:rsid w:val="007E4B8E"/>
    <w:rsid w:val="007E5331"/>
    <w:rsid w:val="007E5716"/>
    <w:rsid w:val="007E584C"/>
    <w:rsid w:val="007E5A68"/>
    <w:rsid w:val="007E6256"/>
    <w:rsid w:val="007E6C2C"/>
    <w:rsid w:val="007E7588"/>
    <w:rsid w:val="007E761E"/>
    <w:rsid w:val="007E7968"/>
    <w:rsid w:val="007E7ED6"/>
    <w:rsid w:val="007F01E9"/>
    <w:rsid w:val="007F030D"/>
    <w:rsid w:val="007F0BC1"/>
    <w:rsid w:val="007F0DCC"/>
    <w:rsid w:val="007F0F75"/>
    <w:rsid w:val="007F16E9"/>
    <w:rsid w:val="007F1F01"/>
    <w:rsid w:val="007F289A"/>
    <w:rsid w:val="007F437D"/>
    <w:rsid w:val="007F47EA"/>
    <w:rsid w:val="007F489A"/>
    <w:rsid w:val="007F50BB"/>
    <w:rsid w:val="007F5E5F"/>
    <w:rsid w:val="007F646C"/>
    <w:rsid w:val="007F65C5"/>
    <w:rsid w:val="007F67FD"/>
    <w:rsid w:val="007F6FCC"/>
    <w:rsid w:val="007F72EF"/>
    <w:rsid w:val="007F741D"/>
    <w:rsid w:val="008001BD"/>
    <w:rsid w:val="00800265"/>
    <w:rsid w:val="00800929"/>
    <w:rsid w:val="00801ABE"/>
    <w:rsid w:val="00801E98"/>
    <w:rsid w:val="008022C4"/>
    <w:rsid w:val="00802BAB"/>
    <w:rsid w:val="00803B5F"/>
    <w:rsid w:val="008043A3"/>
    <w:rsid w:val="0080469A"/>
    <w:rsid w:val="008050D6"/>
    <w:rsid w:val="008055B1"/>
    <w:rsid w:val="00805D33"/>
    <w:rsid w:val="00805F63"/>
    <w:rsid w:val="00806F4D"/>
    <w:rsid w:val="008072C1"/>
    <w:rsid w:val="0080770E"/>
    <w:rsid w:val="00807CF3"/>
    <w:rsid w:val="008103D4"/>
    <w:rsid w:val="00810436"/>
    <w:rsid w:val="00810D05"/>
    <w:rsid w:val="00811325"/>
    <w:rsid w:val="0081187C"/>
    <w:rsid w:val="00811C89"/>
    <w:rsid w:val="008146EC"/>
    <w:rsid w:val="00814BD4"/>
    <w:rsid w:val="00815002"/>
    <w:rsid w:val="0081514B"/>
    <w:rsid w:val="008152EC"/>
    <w:rsid w:val="00815392"/>
    <w:rsid w:val="008153FE"/>
    <w:rsid w:val="00815440"/>
    <w:rsid w:val="008179DB"/>
    <w:rsid w:val="008179E1"/>
    <w:rsid w:val="008209C9"/>
    <w:rsid w:val="00820AA9"/>
    <w:rsid w:val="00820FDB"/>
    <w:rsid w:val="008212C2"/>
    <w:rsid w:val="00821391"/>
    <w:rsid w:val="008214BD"/>
    <w:rsid w:val="008214CB"/>
    <w:rsid w:val="0082179E"/>
    <w:rsid w:val="00821DC9"/>
    <w:rsid w:val="008220A1"/>
    <w:rsid w:val="00822994"/>
    <w:rsid w:val="0082449F"/>
    <w:rsid w:val="00824CBA"/>
    <w:rsid w:val="00824D0A"/>
    <w:rsid w:val="00825044"/>
    <w:rsid w:val="00825056"/>
    <w:rsid w:val="00825316"/>
    <w:rsid w:val="0082550B"/>
    <w:rsid w:val="0082575F"/>
    <w:rsid w:val="00825C0B"/>
    <w:rsid w:val="00825C66"/>
    <w:rsid w:val="008267F7"/>
    <w:rsid w:val="00826821"/>
    <w:rsid w:val="00826C17"/>
    <w:rsid w:val="008270E5"/>
    <w:rsid w:val="008271BB"/>
    <w:rsid w:val="008272A1"/>
    <w:rsid w:val="0082765D"/>
    <w:rsid w:val="008278FE"/>
    <w:rsid w:val="00827979"/>
    <w:rsid w:val="00827B69"/>
    <w:rsid w:val="00830C78"/>
    <w:rsid w:val="00830D7D"/>
    <w:rsid w:val="00831384"/>
    <w:rsid w:val="008319AE"/>
    <w:rsid w:val="008324E9"/>
    <w:rsid w:val="0083286E"/>
    <w:rsid w:val="00832A98"/>
    <w:rsid w:val="00832AB8"/>
    <w:rsid w:val="0083325D"/>
    <w:rsid w:val="00833278"/>
    <w:rsid w:val="008333FF"/>
    <w:rsid w:val="00833863"/>
    <w:rsid w:val="00833F68"/>
    <w:rsid w:val="0083450A"/>
    <w:rsid w:val="0083568F"/>
    <w:rsid w:val="00836975"/>
    <w:rsid w:val="00836BE4"/>
    <w:rsid w:val="0083751D"/>
    <w:rsid w:val="008377EA"/>
    <w:rsid w:val="00837AFA"/>
    <w:rsid w:val="008401B9"/>
    <w:rsid w:val="00840442"/>
    <w:rsid w:val="008426C7"/>
    <w:rsid w:val="00842C0C"/>
    <w:rsid w:val="008430F8"/>
    <w:rsid w:val="00843497"/>
    <w:rsid w:val="008436A8"/>
    <w:rsid w:val="00844178"/>
    <w:rsid w:val="00846A20"/>
    <w:rsid w:val="008479CE"/>
    <w:rsid w:val="00847DE0"/>
    <w:rsid w:val="00847EE7"/>
    <w:rsid w:val="0085005C"/>
    <w:rsid w:val="00850694"/>
    <w:rsid w:val="00850852"/>
    <w:rsid w:val="00850A49"/>
    <w:rsid w:val="00850AEF"/>
    <w:rsid w:val="0085100E"/>
    <w:rsid w:val="0085142F"/>
    <w:rsid w:val="00851477"/>
    <w:rsid w:val="008514B6"/>
    <w:rsid w:val="0085247C"/>
    <w:rsid w:val="00852742"/>
    <w:rsid w:val="00852E28"/>
    <w:rsid w:val="0085351E"/>
    <w:rsid w:val="0085460A"/>
    <w:rsid w:val="00855632"/>
    <w:rsid w:val="00855683"/>
    <w:rsid w:val="008562F7"/>
    <w:rsid w:val="00856D35"/>
    <w:rsid w:val="008575B0"/>
    <w:rsid w:val="008575DF"/>
    <w:rsid w:val="008579F9"/>
    <w:rsid w:val="00860A33"/>
    <w:rsid w:val="0086119F"/>
    <w:rsid w:val="008617A5"/>
    <w:rsid w:val="0086245E"/>
    <w:rsid w:val="00863E16"/>
    <w:rsid w:val="008646DD"/>
    <w:rsid w:val="00864700"/>
    <w:rsid w:val="0086470B"/>
    <w:rsid w:val="00864AE2"/>
    <w:rsid w:val="00864F57"/>
    <w:rsid w:val="008656E2"/>
    <w:rsid w:val="00865785"/>
    <w:rsid w:val="00865B7D"/>
    <w:rsid w:val="00866658"/>
    <w:rsid w:val="00866975"/>
    <w:rsid w:val="00867154"/>
    <w:rsid w:val="0087040C"/>
    <w:rsid w:val="00870B63"/>
    <w:rsid w:val="00871012"/>
    <w:rsid w:val="00871BC4"/>
    <w:rsid w:val="00872051"/>
    <w:rsid w:val="00872772"/>
    <w:rsid w:val="00872EC4"/>
    <w:rsid w:val="008733D5"/>
    <w:rsid w:val="0087340A"/>
    <w:rsid w:val="008739EA"/>
    <w:rsid w:val="00873DB9"/>
    <w:rsid w:val="00873FA5"/>
    <w:rsid w:val="0087457B"/>
    <w:rsid w:val="00875671"/>
    <w:rsid w:val="00876F89"/>
    <w:rsid w:val="0087749D"/>
    <w:rsid w:val="00877CA0"/>
    <w:rsid w:val="00877E5E"/>
    <w:rsid w:val="008802EC"/>
    <w:rsid w:val="008803C4"/>
    <w:rsid w:val="00880964"/>
    <w:rsid w:val="0088146F"/>
    <w:rsid w:val="00881920"/>
    <w:rsid w:val="00882041"/>
    <w:rsid w:val="008821B5"/>
    <w:rsid w:val="00882A67"/>
    <w:rsid w:val="00882E5B"/>
    <w:rsid w:val="00883E30"/>
    <w:rsid w:val="008843E8"/>
    <w:rsid w:val="00885739"/>
    <w:rsid w:val="00885782"/>
    <w:rsid w:val="008862F1"/>
    <w:rsid w:val="008867C3"/>
    <w:rsid w:val="0088758D"/>
    <w:rsid w:val="008876EF"/>
    <w:rsid w:val="00887764"/>
    <w:rsid w:val="00887DF1"/>
    <w:rsid w:val="00887E31"/>
    <w:rsid w:val="00887FDF"/>
    <w:rsid w:val="00890161"/>
    <w:rsid w:val="00890501"/>
    <w:rsid w:val="00890D26"/>
    <w:rsid w:val="0089177A"/>
    <w:rsid w:val="00891E7C"/>
    <w:rsid w:val="008928D7"/>
    <w:rsid w:val="00892ECF"/>
    <w:rsid w:val="008936F9"/>
    <w:rsid w:val="008937C1"/>
    <w:rsid w:val="00894D58"/>
    <w:rsid w:val="008955EF"/>
    <w:rsid w:val="008956FF"/>
    <w:rsid w:val="0089589F"/>
    <w:rsid w:val="008961C3"/>
    <w:rsid w:val="008964EC"/>
    <w:rsid w:val="008970AF"/>
    <w:rsid w:val="0089710E"/>
    <w:rsid w:val="0089754C"/>
    <w:rsid w:val="00897D13"/>
    <w:rsid w:val="008A0235"/>
    <w:rsid w:val="008A03AC"/>
    <w:rsid w:val="008A07ED"/>
    <w:rsid w:val="008A0A7B"/>
    <w:rsid w:val="008A0F53"/>
    <w:rsid w:val="008A16A5"/>
    <w:rsid w:val="008A20A1"/>
    <w:rsid w:val="008A2BA2"/>
    <w:rsid w:val="008A34B9"/>
    <w:rsid w:val="008A3E0C"/>
    <w:rsid w:val="008A3F79"/>
    <w:rsid w:val="008A40ED"/>
    <w:rsid w:val="008A47DA"/>
    <w:rsid w:val="008A5023"/>
    <w:rsid w:val="008A5B16"/>
    <w:rsid w:val="008A677E"/>
    <w:rsid w:val="008B0A9B"/>
    <w:rsid w:val="008B1E9E"/>
    <w:rsid w:val="008B1FAF"/>
    <w:rsid w:val="008B2DD9"/>
    <w:rsid w:val="008B3232"/>
    <w:rsid w:val="008B3378"/>
    <w:rsid w:val="008B35BB"/>
    <w:rsid w:val="008B360A"/>
    <w:rsid w:val="008B3844"/>
    <w:rsid w:val="008B3DA9"/>
    <w:rsid w:val="008B425B"/>
    <w:rsid w:val="008B5E4E"/>
    <w:rsid w:val="008B67CD"/>
    <w:rsid w:val="008B6AB0"/>
    <w:rsid w:val="008B6B13"/>
    <w:rsid w:val="008B7655"/>
    <w:rsid w:val="008B7994"/>
    <w:rsid w:val="008C0364"/>
    <w:rsid w:val="008C059C"/>
    <w:rsid w:val="008C0D54"/>
    <w:rsid w:val="008C0E42"/>
    <w:rsid w:val="008C0F38"/>
    <w:rsid w:val="008C12D5"/>
    <w:rsid w:val="008C2329"/>
    <w:rsid w:val="008C2653"/>
    <w:rsid w:val="008C49F4"/>
    <w:rsid w:val="008C5755"/>
    <w:rsid w:val="008C5F2C"/>
    <w:rsid w:val="008C62BC"/>
    <w:rsid w:val="008C637A"/>
    <w:rsid w:val="008C68B7"/>
    <w:rsid w:val="008C7143"/>
    <w:rsid w:val="008C7945"/>
    <w:rsid w:val="008D0133"/>
    <w:rsid w:val="008D0DE8"/>
    <w:rsid w:val="008D156C"/>
    <w:rsid w:val="008D1924"/>
    <w:rsid w:val="008D1BE1"/>
    <w:rsid w:val="008D1DDD"/>
    <w:rsid w:val="008D1E30"/>
    <w:rsid w:val="008D24D8"/>
    <w:rsid w:val="008D2A4A"/>
    <w:rsid w:val="008D3005"/>
    <w:rsid w:val="008D3570"/>
    <w:rsid w:val="008D3C14"/>
    <w:rsid w:val="008D40A2"/>
    <w:rsid w:val="008D4326"/>
    <w:rsid w:val="008D47D9"/>
    <w:rsid w:val="008D4B52"/>
    <w:rsid w:val="008D4EE0"/>
    <w:rsid w:val="008D5086"/>
    <w:rsid w:val="008D5808"/>
    <w:rsid w:val="008D6954"/>
    <w:rsid w:val="008D69ED"/>
    <w:rsid w:val="008D7451"/>
    <w:rsid w:val="008D7DE7"/>
    <w:rsid w:val="008E061C"/>
    <w:rsid w:val="008E0F1E"/>
    <w:rsid w:val="008E1277"/>
    <w:rsid w:val="008E1668"/>
    <w:rsid w:val="008E2098"/>
    <w:rsid w:val="008E2FA0"/>
    <w:rsid w:val="008E2FC7"/>
    <w:rsid w:val="008E3304"/>
    <w:rsid w:val="008E3333"/>
    <w:rsid w:val="008E36AD"/>
    <w:rsid w:val="008E39ED"/>
    <w:rsid w:val="008E63F9"/>
    <w:rsid w:val="008E6578"/>
    <w:rsid w:val="008E739E"/>
    <w:rsid w:val="008F0777"/>
    <w:rsid w:val="008F0C35"/>
    <w:rsid w:val="008F10BE"/>
    <w:rsid w:val="008F11C4"/>
    <w:rsid w:val="008F140B"/>
    <w:rsid w:val="008F1640"/>
    <w:rsid w:val="008F3395"/>
    <w:rsid w:val="008F3801"/>
    <w:rsid w:val="008F3881"/>
    <w:rsid w:val="008F3D52"/>
    <w:rsid w:val="008F462D"/>
    <w:rsid w:val="008F53EC"/>
    <w:rsid w:val="008F5774"/>
    <w:rsid w:val="008F59F8"/>
    <w:rsid w:val="008F6153"/>
    <w:rsid w:val="008F690E"/>
    <w:rsid w:val="008F6AD4"/>
    <w:rsid w:val="008F6D70"/>
    <w:rsid w:val="008F74EC"/>
    <w:rsid w:val="008F7CDE"/>
    <w:rsid w:val="00900131"/>
    <w:rsid w:val="0090037F"/>
    <w:rsid w:val="0090093D"/>
    <w:rsid w:val="00901290"/>
    <w:rsid w:val="009021D5"/>
    <w:rsid w:val="0090260A"/>
    <w:rsid w:val="009038C4"/>
    <w:rsid w:val="00904BBB"/>
    <w:rsid w:val="00906230"/>
    <w:rsid w:val="009109CC"/>
    <w:rsid w:val="00910D77"/>
    <w:rsid w:val="0091119B"/>
    <w:rsid w:val="009113EA"/>
    <w:rsid w:val="00911B48"/>
    <w:rsid w:val="00911C26"/>
    <w:rsid w:val="00911C7D"/>
    <w:rsid w:val="0091266A"/>
    <w:rsid w:val="00912D30"/>
    <w:rsid w:val="00913245"/>
    <w:rsid w:val="0091398B"/>
    <w:rsid w:val="00913F04"/>
    <w:rsid w:val="00914184"/>
    <w:rsid w:val="009168F3"/>
    <w:rsid w:val="00916C91"/>
    <w:rsid w:val="0091777B"/>
    <w:rsid w:val="009201F7"/>
    <w:rsid w:val="00920358"/>
    <w:rsid w:val="009204B0"/>
    <w:rsid w:val="00920556"/>
    <w:rsid w:val="00920A27"/>
    <w:rsid w:val="00920D1A"/>
    <w:rsid w:val="00921594"/>
    <w:rsid w:val="0092198E"/>
    <w:rsid w:val="00922351"/>
    <w:rsid w:val="00922D36"/>
    <w:rsid w:val="00923045"/>
    <w:rsid w:val="009235D2"/>
    <w:rsid w:val="00923D1B"/>
    <w:rsid w:val="00924357"/>
    <w:rsid w:val="0092569B"/>
    <w:rsid w:val="00925740"/>
    <w:rsid w:val="0092641E"/>
    <w:rsid w:val="00927A44"/>
    <w:rsid w:val="009308C3"/>
    <w:rsid w:val="00930C91"/>
    <w:rsid w:val="00930F49"/>
    <w:rsid w:val="00931245"/>
    <w:rsid w:val="0093188F"/>
    <w:rsid w:val="009323DB"/>
    <w:rsid w:val="009323DC"/>
    <w:rsid w:val="0093276F"/>
    <w:rsid w:val="00932F12"/>
    <w:rsid w:val="00932F92"/>
    <w:rsid w:val="009335B0"/>
    <w:rsid w:val="00933B6D"/>
    <w:rsid w:val="009343C2"/>
    <w:rsid w:val="00934B03"/>
    <w:rsid w:val="00934BD2"/>
    <w:rsid w:val="00935A9D"/>
    <w:rsid w:val="00935D37"/>
    <w:rsid w:val="009366E5"/>
    <w:rsid w:val="00936827"/>
    <w:rsid w:val="00937CE7"/>
    <w:rsid w:val="0094081F"/>
    <w:rsid w:val="00940FB9"/>
    <w:rsid w:val="00941812"/>
    <w:rsid w:val="009431F3"/>
    <w:rsid w:val="009432F0"/>
    <w:rsid w:val="00944A45"/>
    <w:rsid w:val="00944A86"/>
    <w:rsid w:val="00944FD7"/>
    <w:rsid w:val="009450E0"/>
    <w:rsid w:val="0094599B"/>
    <w:rsid w:val="00945FBF"/>
    <w:rsid w:val="00946C45"/>
    <w:rsid w:val="00947640"/>
    <w:rsid w:val="009478AC"/>
    <w:rsid w:val="00947ADE"/>
    <w:rsid w:val="00947B44"/>
    <w:rsid w:val="00950AB9"/>
    <w:rsid w:val="009530A4"/>
    <w:rsid w:val="0095315A"/>
    <w:rsid w:val="00953397"/>
    <w:rsid w:val="009534B5"/>
    <w:rsid w:val="0095421B"/>
    <w:rsid w:val="009551A1"/>
    <w:rsid w:val="00955E9E"/>
    <w:rsid w:val="00956816"/>
    <w:rsid w:val="009569EE"/>
    <w:rsid w:val="00956EB5"/>
    <w:rsid w:val="009572A1"/>
    <w:rsid w:val="00957868"/>
    <w:rsid w:val="00960121"/>
    <w:rsid w:val="0096021A"/>
    <w:rsid w:val="0096076A"/>
    <w:rsid w:val="009607DF"/>
    <w:rsid w:val="009607F4"/>
    <w:rsid w:val="00960BA8"/>
    <w:rsid w:val="00960CEA"/>
    <w:rsid w:val="00961E2C"/>
    <w:rsid w:val="00962290"/>
    <w:rsid w:val="00962416"/>
    <w:rsid w:val="0096256D"/>
    <w:rsid w:val="00962EFB"/>
    <w:rsid w:val="0096395D"/>
    <w:rsid w:val="00964A78"/>
    <w:rsid w:val="0096569E"/>
    <w:rsid w:val="009662B6"/>
    <w:rsid w:val="00966481"/>
    <w:rsid w:val="00966718"/>
    <w:rsid w:val="0096691D"/>
    <w:rsid w:val="00966C59"/>
    <w:rsid w:val="009677C9"/>
    <w:rsid w:val="00967A73"/>
    <w:rsid w:val="00967DCB"/>
    <w:rsid w:val="00970798"/>
    <w:rsid w:val="00971234"/>
    <w:rsid w:val="0097138D"/>
    <w:rsid w:val="0097174C"/>
    <w:rsid w:val="0097181A"/>
    <w:rsid w:val="00971835"/>
    <w:rsid w:val="00972124"/>
    <w:rsid w:val="0097239F"/>
    <w:rsid w:val="0097305B"/>
    <w:rsid w:val="009734C0"/>
    <w:rsid w:val="009743BB"/>
    <w:rsid w:val="00974573"/>
    <w:rsid w:val="009755CB"/>
    <w:rsid w:val="00975635"/>
    <w:rsid w:val="0097715D"/>
    <w:rsid w:val="00977D7D"/>
    <w:rsid w:val="00981232"/>
    <w:rsid w:val="009813C7"/>
    <w:rsid w:val="0098177B"/>
    <w:rsid w:val="00982908"/>
    <w:rsid w:val="00984B8D"/>
    <w:rsid w:val="00987068"/>
    <w:rsid w:val="00987195"/>
    <w:rsid w:val="00991D2E"/>
    <w:rsid w:val="0099207F"/>
    <w:rsid w:val="009921C1"/>
    <w:rsid w:val="00993B8C"/>
    <w:rsid w:val="00993CA5"/>
    <w:rsid w:val="00994648"/>
    <w:rsid w:val="0099533A"/>
    <w:rsid w:val="009959EB"/>
    <w:rsid w:val="00996335"/>
    <w:rsid w:val="00996408"/>
    <w:rsid w:val="00997332"/>
    <w:rsid w:val="00997D1E"/>
    <w:rsid w:val="009A2118"/>
    <w:rsid w:val="009A28CD"/>
    <w:rsid w:val="009A2E35"/>
    <w:rsid w:val="009A31D8"/>
    <w:rsid w:val="009A37CC"/>
    <w:rsid w:val="009A3944"/>
    <w:rsid w:val="009A3D54"/>
    <w:rsid w:val="009A419B"/>
    <w:rsid w:val="009A433F"/>
    <w:rsid w:val="009A4AE0"/>
    <w:rsid w:val="009A5096"/>
    <w:rsid w:val="009A59CC"/>
    <w:rsid w:val="009A6B70"/>
    <w:rsid w:val="009A717F"/>
    <w:rsid w:val="009A7F87"/>
    <w:rsid w:val="009B0737"/>
    <w:rsid w:val="009B0829"/>
    <w:rsid w:val="009B08A6"/>
    <w:rsid w:val="009B0B88"/>
    <w:rsid w:val="009B0D0A"/>
    <w:rsid w:val="009B1399"/>
    <w:rsid w:val="009B173C"/>
    <w:rsid w:val="009B196B"/>
    <w:rsid w:val="009B1DA8"/>
    <w:rsid w:val="009B1E9D"/>
    <w:rsid w:val="009B281E"/>
    <w:rsid w:val="009B3FD3"/>
    <w:rsid w:val="009B45FB"/>
    <w:rsid w:val="009B6EAE"/>
    <w:rsid w:val="009B7368"/>
    <w:rsid w:val="009B7442"/>
    <w:rsid w:val="009B75E7"/>
    <w:rsid w:val="009B7932"/>
    <w:rsid w:val="009B7CDB"/>
    <w:rsid w:val="009C100A"/>
    <w:rsid w:val="009C109E"/>
    <w:rsid w:val="009C1190"/>
    <w:rsid w:val="009C1AA2"/>
    <w:rsid w:val="009C31AF"/>
    <w:rsid w:val="009C3885"/>
    <w:rsid w:val="009C3A97"/>
    <w:rsid w:val="009C3C9A"/>
    <w:rsid w:val="009C3D53"/>
    <w:rsid w:val="009C4775"/>
    <w:rsid w:val="009C4850"/>
    <w:rsid w:val="009C4AFC"/>
    <w:rsid w:val="009C4FED"/>
    <w:rsid w:val="009C543C"/>
    <w:rsid w:val="009C5554"/>
    <w:rsid w:val="009D0982"/>
    <w:rsid w:val="009D0E52"/>
    <w:rsid w:val="009D0F53"/>
    <w:rsid w:val="009D1722"/>
    <w:rsid w:val="009D29F4"/>
    <w:rsid w:val="009D2E81"/>
    <w:rsid w:val="009D2F4A"/>
    <w:rsid w:val="009D318A"/>
    <w:rsid w:val="009D33F1"/>
    <w:rsid w:val="009D3A82"/>
    <w:rsid w:val="009D4B45"/>
    <w:rsid w:val="009D4F1F"/>
    <w:rsid w:val="009D4FE1"/>
    <w:rsid w:val="009D5B41"/>
    <w:rsid w:val="009D6628"/>
    <w:rsid w:val="009D6C57"/>
    <w:rsid w:val="009E0503"/>
    <w:rsid w:val="009E0815"/>
    <w:rsid w:val="009E17F6"/>
    <w:rsid w:val="009E2960"/>
    <w:rsid w:val="009E367F"/>
    <w:rsid w:val="009E3BEE"/>
    <w:rsid w:val="009E400A"/>
    <w:rsid w:val="009E4293"/>
    <w:rsid w:val="009E6BD3"/>
    <w:rsid w:val="009E70F8"/>
    <w:rsid w:val="009E742B"/>
    <w:rsid w:val="009E7611"/>
    <w:rsid w:val="009E79FA"/>
    <w:rsid w:val="009F0245"/>
    <w:rsid w:val="009F0535"/>
    <w:rsid w:val="009F1F40"/>
    <w:rsid w:val="009F269B"/>
    <w:rsid w:val="009F271F"/>
    <w:rsid w:val="009F311D"/>
    <w:rsid w:val="009F319B"/>
    <w:rsid w:val="009F31E5"/>
    <w:rsid w:val="009F35FE"/>
    <w:rsid w:val="009F3EBC"/>
    <w:rsid w:val="009F448B"/>
    <w:rsid w:val="009F51D0"/>
    <w:rsid w:val="009F6AF6"/>
    <w:rsid w:val="009F78D0"/>
    <w:rsid w:val="009F78D9"/>
    <w:rsid w:val="00A007CC"/>
    <w:rsid w:val="00A0106F"/>
    <w:rsid w:val="00A012ED"/>
    <w:rsid w:val="00A01A6D"/>
    <w:rsid w:val="00A01B75"/>
    <w:rsid w:val="00A0211E"/>
    <w:rsid w:val="00A03266"/>
    <w:rsid w:val="00A033FB"/>
    <w:rsid w:val="00A044A0"/>
    <w:rsid w:val="00A0457F"/>
    <w:rsid w:val="00A05360"/>
    <w:rsid w:val="00A054A9"/>
    <w:rsid w:val="00A05AA1"/>
    <w:rsid w:val="00A05AE2"/>
    <w:rsid w:val="00A062A9"/>
    <w:rsid w:val="00A06531"/>
    <w:rsid w:val="00A066D6"/>
    <w:rsid w:val="00A06B1A"/>
    <w:rsid w:val="00A0724C"/>
    <w:rsid w:val="00A07DC4"/>
    <w:rsid w:val="00A109DB"/>
    <w:rsid w:val="00A10A92"/>
    <w:rsid w:val="00A11391"/>
    <w:rsid w:val="00A115CE"/>
    <w:rsid w:val="00A11B9F"/>
    <w:rsid w:val="00A11CA5"/>
    <w:rsid w:val="00A12D18"/>
    <w:rsid w:val="00A12EA5"/>
    <w:rsid w:val="00A131B7"/>
    <w:rsid w:val="00A13356"/>
    <w:rsid w:val="00A134BD"/>
    <w:rsid w:val="00A14FE7"/>
    <w:rsid w:val="00A159C1"/>
    <w:rsid w:val="00A15BB5"/>
    <w:rsid w:val="00A15E83"/>
    <w:rsid w:val="00A16158"/>
    <w:rsid w:val="00A166A7"/>
    <w:rsid w:val="00A17595"/>
    <w:rsid w:val="00A17B22"/>
    <w:rsid w:val="00A17D32"/>
    <w:rsid w:val="00A20948"/>
    <w:rsid w:val="00A20966"/>
    <w:rsid w:val="00A20A30"/>
    <w:rsid w:val="00A21EF8"/>
    <w:rsid w:val="00A222EC"/>
    <w:rsid w:val="00A225F7"/>
    <w:rsid w:val="00A2281A"/>
    <w:rsid w:val="00A22841"/>
    <w:rsid w:val="00A23CFF"/>
    <w:rsid w:val="00A24609"/>
    <w:rsid w:val="00A24626"/>
    <w:rsid w:val="00A25B2E"/>
    <w:rsid w:val="00A26AD6"/>
    <w:rsid w:val="00A26E71"/>
    <w:rsid w:val="00A27F56"/>
    <w:rsid w:val="00A30561"/>
    <w:rsid w:val="00A30EDB"/>
    <w:rsid w:val="00A31A7A"/>
    <w:rsid w:val="00A31D29"/>
    <w:rsid w:val="00A31DAA"/>
    <w:rsid w:val="00A31F82"/>
    <w:rsid w:val="00A3255E"/>
    <w:rsid w:val="00A33D23"/>
    <w:rsid w:val="00A3416F"/>
    <w:rsid w:val="00A34936"/>
    <w:rsid w:val="00A34BFA"/>
    <w:rsid w:val="00A34FC6"/>
    <w:rsid w:val="00A35703"/>
    <w:rsid w:val="00A35F1F"/>
    <w:rsid w:val="00A363EA"/>
    <w:rsid w:val="00A369E9"/>
    <w:rsid w:val="00A3733A"/>
    <w:rsid w:val="00A37368"/>
    <w:rsid w:val="00A375B1"/>
    <w:rsid w:val="00A37945"/>
    <w:rsid w:val="00A37A10"/>
    <w:rsid w:val="00A4012A"/>
    <w:rsid w:val="00A40819"/>
    <w:rsid w:val="00A40D2B"/>
    <w:rsid w:val="00A438CB"/>
    <w:rsid w:val="00A43F0F"/>
    <w:rsid w:val="00A44B01"/>
    <w:rsid w:val="00A45147"/>
    <w:rsid w:val="00A45529"/>
    <w:rsid w:val="00A455F2"/>
    <w:rsid w:val="00A45E84"/>
    <w:rsid w:val="00A45FEF"/>
    <w:rsid w:val="00A46325"/>
    <w:rsid w:val="00A4666C"/>
    <w:rsid w:val="00A4707E"/>
    <w:rsid w:val="00A47996"/>
    <w:rsid w:val="00A47A41"/>
    <w:rsid w:val="00A50039"/>
    <w:rsid w:val="00A5090A"/>
    <w:rsid w:val="00A51622"/>
    <w:rsid w:val="00A52142"/>
    <w:rsid w:val="00A52A6E"/>
    <w:rsid w:val="00A5302D"/>
    <w:rsid w:val="00A53624"/>
    <w:rsid w:val="00A538A5"/>
    <w:rsid w:val="00A53BA9"/>
    <w:rsid w:val="00A545B4"/>
    <w:rsid w:val="00A54A49"/>
    <w:rsid w:val="00A54E23"/>
    <w:rsid w:val="00A55B79"/>
    <w:rsid w:val="00A55CA6"/>
    <w:rsid w:val="00A56745"/>
    <w:rsid w:val="00A578CF"/>
    <w:rsid w:val="00A57D8D"/>
    <w:rsid w:val="00A602C3"/>
    <w:rsid w:val="00A6048C"/>
    <w:rsid w:val="00A614F4"/>
    <w:rsid w:val="00A620A9"/>
    <w:rsid w:val="00A636A7"/>
    <w:rsid w:val="00A63A17"/>
    <w:rsid w:val="00A63DF7"/>
    <w:rsid w:val="00A64677"/>
    <w:rsid w:val="00A654EE"/>
    <w:rsid w:val="00A65765"/>
    <w:rsid w:val="00A65CA2"/>
    <w:rsid w:val="00A65D83"/>
    <w:rsid w:val="00A67020"/>
    <w:rsid w:val="00A704B8"/>
    <w:rsid w:val="00A714E3"/>
    <w:rsid w:val="00A71A2C"/>
    <w:rsid w:val="00A7258D"/>
    <w:rsid w:val="00A732A6"/>
    <w:rsid w:val="00A73863"/>
    <w:rsid w:val="00A739F4"/>
    <w:rsid w:val="00A73AB7"/>
    <w:rsid w:val="00A74A43"/>
    <w:rsid w:val="00A75019"/>
    <w:rsid w:val="00A756E5"/>
    <w:rsid w:val="00A75A9C"/>
    <w:rsid w:val="00A760C4"/>
    <w:rsid w:val="00A7621E"/>
    <w:rsid w:val="00A7636E"/>
    <w:rsid w:val="00A7694F"/>
    <w:rsid w:val="00A77439"/>
    <w:rsid w:val="00A77B08"/>
    <w:rsid w:val="00A801C0"/>
    <w:rsid w:val="00A802E5"/>
    <w:rsid w:val="00A8042B"/>
    <w:rsid w:val="00A80F18"/>
    <w:rsid w:val="00A810BA"/>
    <w:rsid w:val="00A81170"/>
    <w:rsid w:val="00A81C05"/>
    <w:rsid w:val="00A82006"/>
    <w:rsid w:val="00A837A9"/>
    <w:rsid w:val="00A8390A"/>
    <w:rsid w:val="00A84380"/>
    <w:rsid w:val="00A84AF0"/>
    <w:rsid w:val="00A84FCA"/>
    <w:rsid w:val="00A853F6"/>
    <w:rsid w:val="00A85795"/>
    <w:rsid w:val="00A85B99"/>
    <w:rsid w:val="00A85CA7"/>
    <w:rsid w:val="00A8729A"/>
    <w:rsid w:val="00A874CA"/>
    <w:rsid w:val="00A90468"/>
    <w:rsid w:val="00A90AF8"/>
    <w:rsid w:val="00A90F0A"/>
    <w:rsid w:val="00A9106D"/>
    <w:rsid w:val="00A910EC"/>
    <w:rsid w:val="00A9151A"/>
    <w:rsid w:val="00A9168E"/>
    <w:rsid w:val="00A9256A"/>
    <w:rsid w:val="00A931A2"/>
    <w:rsid w:val="00A941AC"/>
    <w:rsid w:val="00A94856"/>
    <w:rsid w:val="00A9488A"/>
    <w:rsid w:val="00A94C46"/>
    <w:rsid w:val="00A94EE6"/>
    <w:rsid w:val="00A96A37"/>
    <w:rsid w:val="00A96C30"/>
    <w:rsid w:val="00A970D2"/>
    <w:rsid w:val="00A97537"/>
    <w:rsid w:val="00A97AAF"/>
    <w:rsid w:val="00AA2045"/>
    <w:rsid w:val="00AA2279"/>
    <w:rsid w:val="00AA24D8"/>
    <w:rsid w:val="00AA25C7"/>
    <w:rsid w:val="00AA2858"/>
    <w:rsid w:val="00AA3708"/>
    <w:rsid w:val="00AA3714"/>
    <w:rsid w:val="00AA3B17"/>
    <w:rsid w:val="00AA3DC0"/>
    <w:rsid w:val="00AA42E0"/>
    <w:rsid w:val="00AA489C"/>
    <w:rsid w:val="00AA49E2"/>
    <w:rsid w:val="00AA4ADE"/>
    <w:rsid w:val="00AA5305"/>
    <w:rsid w:val="00AA5C4C"/>
    <w:rsid w:val="00AA6BF2"/>
    <w:rsid w:val="00AA6F4F"/>
    <w:rsid w:val="00AA76B7"/>
    <w:rsid w:val="00AA7BF1"/>
    <w:rsid w:val="00AA7E03"/>
    <w:rsid w:val="00AB00DA"/>
    <w:rsid w:val="00AB0D73"/>
    <w:rsid w:val="00AB1A5D"/>
    <w:rsid w:val="00AB2399"/>
    <w:rsid w:val="00AB24AA"/>
    <w:rsid w:val="00AB25AA"/>
    <w:rsid w:val="00AB2D90"/>
    <w:rsid w:val="00AB46A1"/>
    <w:rsid w:val="00AB4D80"/>
    <w:rsid w:val="00AB50FC"/>
    <w:rsid w:val="00AB66C4"/>
    <w:rsid w:val="00AC0162"/>
    <w:rsid w:val="00AC0525"/>
    <w:rsid w:val="00AC0E25"/>
    <w:rsid w:val="00AC1185"/>
    <w:rsid w:val="00AC1778"/>
    <w:rsid w:val="00AC2C40"/>
    <w:rsid w:val="00AC2F30"/>
    <w:rsid w:val="00AC3BF2"/>
    <w:rsid w:val="00AC4B77"/>
    <w:rsid w:val="00AC4B79"/>
    <w:rsid w:val="00AC5025"/>
    <w:rsid w:val="00AC59CB"/>
    <w:rsid w:val="00AC5A8F"/>
    <w:rsid w:val="00AC615E"/>
    <w:rsid w:val="00AC7569"/>
    <w:rsid w:val="00AC7654"/>
    <w:rsid w:val="00AD0305"/>
    <w:rsid w:val="00AD163E"/>
    <w:rsid w:val="00AD1940"/>
    <w:rsid w:val="00AD1F9D"/>
    <w:rsid w:val="00AD2529"/>
    <w:rsid w:val="00AD26AD"/>
    <w:rsid w:val="00AD3302"/>
    <w:rsid w:val="00AD46EA"/>
    <w:rsid w:val="00AD550A"/>
    <w:rsid w:val="00AD56F3"/>
    <w:rsid w:val="00AD59B8"/>
    <w:rsid w:val="00AD6422"/>
    <w:rsid w:val="00AD6C6C"/>
    <w:rsid w:val="00AD700E"/>
    <w:rsid w:val="00AD7927"/>
    <w:rsid w:val="00AD7D06"/>
    <w:rsid w:val="00AD7F1C"/>
    <w:rsid w:val="00AE07A9"/>
    <w:rsid w:val="00AE0BBA"/>
    <w:rsid w:val="00AE0FD4"/>
    <w:rsid w:val="00AE1144"/>
    <w:rsid w:val="00AE1604"/>
    <w:rsid w:val="00AE1FA1"/>
    <w:rsid w:val="00AE244B"/>
    <w:rsid w:val="00AE2A5A"/>
    <w:rsid w:val="00AE3702"/>
    <w:rsid w:val="00AE4150"/>
    <w:rsid w:val="00AE45FB"/>
    <w:rsid w:val="00AE581D"/>
    <w:rsid w:val="00AE5EA6"/>
    <w:rsid w:val="00AE64A7"/>
    <w:rsid w:val="00AE6F15"/>
    <w:rsid w:val="00AE704B"/>
    <w:rsid w:val="00AF0315"/>
    <w:rsid w:val="00AF040C"/>
    <w:rsid w:val="00AF0526"/>
    <w:rsid w:val="00AF16AB"/>
    <w:rsid w:val="00AF2395"/>
    <w:rsid w:val="00AF39F2"/>
    <w:rsid w:val="00AF45B7"/>
    <w:rsid w:val="00AF5B8F"/>
    <w:rsid w:val="00AF5C03"/>
    <w:rsid w:val="00AF5CC0"/>
    <w:rsid w:val="00AF6349"/>
    <w:rsid w:val="00AF650A"/>
    <w:rsid w:val="00AF6899"/>
    <w:rsid w:val="00AF69EC"/>
    <w:rsid w:val="00B002D1"/>
    <w:rsid w:val="00B0084E"/>
    <w:rsid w:val="00B019D7"/>
    <w:rsid w:val="00B01B6F"/>
    <w:rsid w:val="00B0231E"/>
    <w:rsid w:val="00B02348"/>
    <w:rsid w:val="00B023FB"/>
    <w:rsid w:val="00B02635"/>
    <w:rsid w:val="00B02B3B"/>
    <w:rsid w:val="00B034EF"/>
    <w:rsid w:val="00B03950"/>
    <w:rsid w:val="00B04140"/>
    <w:rsid w:val="00B041D9"/>
    <w:rsid w:val="00B044AB"/>
    <w:rsid w:val="00B04678"/>
    <w:rsid w:val="00B047F7"/>
    <w:rsid w:val="00B04B03"/>
    <w:rsid w:val="00B05252"/>
    <w:rsid w:val="00B05481"/>
    <w:rsid w:val="00B0598A"/>
    <w:rsid w:val="00B069D3"/>
    <w:rsid w:val="00B06C44"/>
    <w:rsid w:val="00B0719F"/>
    <w:rsid w:val="00B072C0"/>
    <w:rsid w:val="00B07AB0"/>
    <w:rsid w:val="00B108D6"/>
    <w:rsid w:val="00B109ED"/>
    <w:rsid w:val="00B11240"/>
    <w:rsid w:val="00B11453"/>
    <w:rsid w:val="00B114E8"/>
    <w:rsid w:val="00B11897"/>
    <w:rsid w:val="00B12711"/>
    <w:rsid w:val="00B12938"/>
    <w:rsid w:val="00B130DA"/>
    <w:rsid w:val="00B13D24"/>
    <w:rsid w:val="00B146E6"/>
    <w:rsid w:val="00B14A5C"/>
    <w:rsid w:val="00B14E63"/>
    <w:rsid w:val="00B15147"/>
    <w:rsid w:val="00B163AC"/>
    <w:rsid w:val="00B16DBB"/>
    <w:rsid w:val="00B16EA3"/>
    <w:rsid w:val="00B17CFC"/>
    <w:rsid w:val="00B207D5"/>
    <w:rsid w:val="00B22178"/>
    <w:rsid w:val="00B24584"/>
    <w:rsid w:val="00B25C63"/>
    <w:rsid w:val="00B26B47"/>
    <w:rsid w:val="00B3081F"/>
    <w:rsid w:val="00B30BF9"/>
    <w:rsid w:val="00B3158A"/>
    <w:rsid w:val="00B31DC6"/>
    <w:rsid w:val="00B321E3"/>
    <w:rsid w:val="00B32BBD"/>
    <w:rsid w:val="00B32CA5"/>
    <w:rsid w:val="00B332F2"/>
    <w:rsid w:val="00B33764"/>
    <w:rsid w:val="00B33A49"/>
    <w:rsid w:val="00B33B6F"/>
    <w:rsid w:val="00B34185"/>
    <w:rsid w:val="00B34267"/>
    <w:rsid w:val="00B35B54"/>
    <w:rsid w:val="00B369D9"/>
    <w:rsid w:val="00B36DF5"/>
    <w:rsid w:val="00B3717B"/>
    <w:rsid w:val="00B378D2"/>
    <w:rsid w:val="00B404EF"/>
    <w:rsid w:val="00B413E9"/>
    <w:rsid w:val="00B43724"/>
    <w:rsid w:val="00B43FC1"/>
    <w:rsid w:val="00B441E9"/>
    <w:rsid w:val="00B4531C"/>
    <w:rsid w:val="00B45585"/>
    <w:rsid w:val="00B45873"/>
    <w:rsid w:val="00B458AA"/>
    <w:rsid w:val="00B45933"/>
    <w:rsid w:val="00B459FF"/>
    <w:rsid w:val="00B45DDE"/>
    <w:rsid w:val="00B45EE8"/>
    <w:rsid w:val="00B46930"/>
    <w:rsid w:val="00B478C6"/>
    <w:rsid w:val="00B47B40"/>
    <w:rsid w:val="00B47BAD"/>
    <w:rsid w:val="00B50D42"/>
    <w:rsid w:val="00B51336"/>
    <w:rsid w:val="00B51442"/>
    <w:rsid w:val="00B519A5"/>
    <w:rsid w:val="00B51C98"/>
    <w:rsid w:val="00B52056"/>
    <w:rsid w:val="00B53429"/>
    <w:rsid w:val="00B53CA1"/>
    <w:rsid w:val="00B54314"/>
    <w:rsid w:val="00B5435D"/>
    <w:rsid w:val="00B546EE"/>
    <w:rsid w:val="00B54F70"/>
    <w:rsid w:val="00B556FE"/>
    <w:rsid w:val="00B55C97"/>
    <w:rsid w:val="00B565D2"/>
    <w:rsid w:val="00B56CA0"/>
    <w:rsid w:val="00B56FC3"/>
    <w:rsid w:val="00B6001F"/>
    <w:rsid w:val="00B6051A"/>
    <w:rsid w:val="00B608FA"/>
    <w:rsid w:val="00B60C6E"/>
    <w:rsid w:val="00B60CB7"/>
    <w:rsid w:val="00B61295"/>
    <w:rsid w:val="00B618C5"/>
    <w:rsid w:val="00B61B15"/>
    <w:rsid w:val="00B624C4"/>
    <w:rsid w:val="00B62908"/>
    <w:rsid w:val="00B62F9E"/>
    <w:rsid w:val="00B635ED"/>
    <w:rsid w:val="00B64D72"/>
    <w:rsid w:val="00B65032"/>
    <w:rsid w:val="00B65A24"/>
    <w:rsid w:val="00B66326"/>
    <w:rsid w:val="00B664C2"/>
    <w:rsid w:val="00B66C59"/>
    <w:rsid w:val="00B66CBC"/>
    <w:rsid w:val="00B66E35"/>
    <w:rsid w:val="00B70216"/>
    <w:rsid w:val="00B703B2"/>
    <w:rsid w:val="00B70E2E"/>
    <w:rsid w:val="00B71096"/>
    <w:rsid w:val="00B710B0"/>
    <w:rsid w:val="00B7120D"/>
    <w:rsid w:val="00B71284"/>
    <w:rsid w:val="00B7212E"/>
    <w:rsid w:val="00B7234B"/>
    <w:rsid w:val="00B7276D"/>
    <w:rsid w:val="00B72DAD"/>
    <w:rsid w:val="00B73E46"/>
    <w:rsid w:val="00B74260"/>
    <w:rsid w:val="00B74CE0"/>
    <w:rsid w:val="00B7570F"/>
    <w:rsid w:val="00B76370"/>
    <w:rsid w:val="00B76A20"/>
    <w:rsid w:val="00B76B46"/>
    <w:rsid w:val="00B76EE3"/>
    <w:rsid w:val="00B7767D"/>
    <w:rsid w:val="00B77AF7"/>
    <w:rsid w:val="00B77CDF"/>
    <w:rsid w:val="00B77E98"/>
    <w:rsid w:val="00B80025"/>
    <w:rsid w:val="00B8080C"/>
    <w:rsid w:val="00B82A9A"/>
    <w:rsid w:val="00B84251"/>
    <w:rsid w:val="00B847A7"/>
    <w:rsid w:val="00B85349"/>
    <w:rsid w:val="00B8589E"/>
    <w:rsid w:val="00B85C5F"/>
    <w:rsid w:val="00B86311"/>
    <w:rsid w:val="00B86571"/>
    <w:rsid w:val="00B8684F"/>
    <w:rsid w:val="00B86A92"/>
    <w:rsid w:val="00B86BFC"/>
    <w:rsid w:val="00B8775C"/>
    <w:rsid w:val="00B87AEA"/>
    <w:rsid w:val="00B90311"/>
    <w:rsid w:val="00B90564"/>
    <w:rsid w:val="00B91210"/>
    <w:rsid w:val="00B9140B"/>
    <w:rsid w:val="00B9140F"/>
    <w:rsid w:val="00B91653"/>
    <w:rsid w:val="00B91AD2"/>
    <w:rsid w:val="00B91F76"/>
    <w:rsid w:val="00B92C0D"/>
    <w:rsid w:val="00B94ADD"/>
    <w:rsid w:val="00B9507D"/>
    <w:rsid w:val="00B9575D"/>
    <w:rsid w:val="00B95C83"/>
    <w:rsid w:val="00B95EC4"/>
    <w:rsid w:val="00B9601A"/>
    <w:rsid w:val="00B96039"/>
    <w:rsid w:val="00B96BE5"/>
    <w:rsid w:val="00B970BF"/>
    <w:rsid w:val="00B97271"/>
    <w:rsid w:val="00B974E1"/>
    <w:rsid w:val="00B97933"/>
    <w:rsid w:val="00B97D4E"/>
    <w:rsid w:val="00BA0080"/>
    <w:rsid w:val="00BA1707"/>
    <w:rsid w:val="00BA18E5"/>
    <w:rsid w:val="00BA1CF6"/>
    <w:rsid w:val="00BA297B"/>
    <w:rsid w:val="00BA298B"/>
    <w:rsid w:val="00BA2B2E"/>
    <w:rsid w:val="00BA32D6"/>
    <w:rsid w:val="00BA3AAE"/>
    <w:rsid w:val="00BA3DD0"/>
    <w:rsid w:val="00BA49A8"/>
    <w:rsid w:val="00BA4DC8"/>
    <w:rsid w:val="00BA4F1E"/>
    <w:rsid w:val="00BA6E35"/>
    <w:rsid w:val="00BA7CDA"/>
    <w:rsid w:val="00BB063C"/>
    <w:rsid w:val="00BB1470"/>
    <w:rsid w:val="00BB1944"/>
    <w:rsid w:val="00BB1A56"/>
    <w:rsid w:val="00BB1E80"/>
    <w:rsid w:val="00BB2AB5"/>
    <w:rsid w:val="00BB2CB8"/>
    <w:rsid w:val="00BB3208"/>
    <w:rsid w:val="00BB3B96"/>
    <w:rsid w:val="00BB3DC3"/>
    <w:rsid w:val="00BB426C"/>
    <w:rsid w:val="00BB5198"/>
    <w:rsid w:val="00BB57CA"/>
    <w:rsid w:val="00BB5C1E"/>
    <w:rsid w:val="00BB5CB0"/>
    <w:rsid w:val="00BB6DCE"/>
    <w:rsid w:val="00BB74AA"/>
    <w:rsid w:val="00BB756B"/>
    <w:rsid w:val="00BC1349"/>
    <w:rsid w:val="00BC20CD"/>
    <w:rsid w:val="00BC2459"/>
    <w:rsid w:val="00BC2A96"/>
    <w:rsid w:val="00BC404F"/>
    <w:rsid w:val="00BC48C4"/>
    <w:rsid w:val="00BC48D2"/>
    <w:rsid w:val="00BC4A46"/>
    <w:rsid w:val="00BC5BCB"/>
    <w:rsid w:val="00BC6674"/>
    <w:rsid w:val="00BC7794"/>
    <w:rsid w:val="00BC7805"/>
    <w:rsid w:val="00BC7D66"/>
    <w:rsid w:val="00BC7FF6"/>
    <w:rsid w:val="00BD04C9"/>
    <w:rsid w:val="00BD0A79"/>
    <w:rsid w:val="00BD0E46"/>
    <w:rsid w:val="00BD0E67"/>
    <w:rsid w:val="00BD1D15"/>
    <w:rsid w:val="00BD26FC"/>
    <w:rsid w:val="00BD274B"/>
    <w:rsid w:val="00BD2CE5"/>
    <w:rsid w:val="00BD3407"/>
    <w:rsid w:val="00BD3B1F"/>
    <w:rsid w:val="00BD438E"/>
    <w:rsid w:val="00BD46A1"/>
    <w:rsid w:val="00BD50B7"/>
    <w:rsid w:val="00BD5A03"/>
    <w:rsid w:val="00BD5F94"/>
    <w:rsid w:val="00BD6328"/>
    <w:rsid w:val="00BD646E"/>
    <w:rsid w:val="00BD66E7"/>
    <w:rsid w:val="00BD746C"/>
    <w:rsid w:val="00BD78F9"/>
    <w:rsid w:val="00BD7BF9"/>
    <w:rsid w:val="00BE0544"/>
    <w:rsid w:val="00BE0DA0"/>
    <w:rsid w:val="00BE1592"/>
    <w:rsid w:val="00BE1B82"/>
    <w:rsid w:val="00BE2D41"/>
    <w:rsid w:val="00BE79EA"/>
    <w:rsid w:val="00BF0186"/>
    <w:rsid w:val="00BF02D2"/>
    <w:rsid w:val="00BF0394"/>
    <w:rsid w:val="00BF0572"/>
    <w:rsid w:val="00BF05EF"/>
    <w:rsid w:val="00BF0891"/>
    <w:rsid w:val="00BF0F5C"/>
    <w:rsid w:val="00BF134B"/>
    <w:rsid w:val="00BF19EB"/>
    <w:rsid w:val="00BF25DC"/>
    <w:rsid w:val="00BF2664"/>
    <w:rsid w:val="00BF349B"/>
    <w:rsid w:val="00BF35F2"/>
    <w:rsid w:val="00BF361D"/>
    <w:rsid w:val="00BF3C13"/>
    <w:rsid w:val="00BF4182"/>
    <w:rsid w:val="00BF474C"/>
    <w:rsid w:val="00BF48A1"/>
    <w:rsid w:val="00BF4BDC"/>
    <w:rsid w:val="00BF4C4C"/>
    <w:rsid w:val="00BF4EB2"/>
    <w:rsid w:val="00BF55FD"/>
    <w:rsid w:val="00BF5813"/>
    <w:rsid w:val="00BF5E6C"/>
    <w:rsid w:val="00BF6042"/>
    <w:rsid w:val="00BF60E8"/>
    <w:rsid w:val="00BF666B"/>
    <w:rsid w:val="00BF6B61"/>
    <w:rsid w:val="00BF7728"/>
    <w:rsid w:val="00C001C7"/>
    <w:rsid w:val="00C00A05"/>
    <w:rsid w:val="00C00E47"/>
    <w:rsid w:val="00C01492"/>
    <w:rsid w:val="00C01F08"/>
    <w:rsid w:val="00C02033"/>
    <w:rsid w:val="00C0265A"/>
    <w:rsid w:val="00C02E79"/>
    <w:rsid w:val="00C03A2E"/>
    <w:rsid w:val="00C04129"/>
    <w:rsid w:val="00C04AD6"/>
    <w:rsid w:val="00C05051"/>
    <w:rsid w:val="00C0724B"/>
    <w:rsid w:val="00C07D27"/>
    <w:rsid w:val="00C104CA"/>
    <w:rsid w:val="00C11537"/>
    <w:rsid w:val="00C12872"/>
    <w:rsid w:val="00C1296E"/>
    <w:rsid w:val="00C148B6"/>
    <w:rsid w:val="00C1498E"/>
    <w:rsid w:val="00C150A5"/>
    <w:rsid w:val="00C158A8"/>
    <w:rsid w:val="00C159B0"/>
    <w:rsid w:val="00C159E0"/>
    <w:rsid w:val="00C15BF6"/>
    <w:rsid w:val="00C160EF"/>
    <w:rsid w:val="00C1666E"/>
    <w:rsid w:val="00C16EE1"/>
    <w:rsid w:val="00C206FD"/>
    <w:rsid w:val="00C20BC7"/>
    <w:rsid w:val="00C21A02"/>
    <w:rsid w:val="00C21A4B"/>
    <w:rsid w:val="00C21D16"/>
    <w:rsid w:val="00C220D7"/>
    <w:rsid w:val="00C22110"/>
    <w:rsid w:val="00C22263"/>
    <w:rsid w:val="00C2268B"/>
    <w:rsid w:val="00C2293E"/>
    <w:rsid w:val="00C22DAA"/>
    <w:rsid w:val="00C231A7"/>
    <w:rsid w:val="00C23CF1"/>
    <w:rsid w:val="00C23F27"/>
    <w:rsid w:val="00C24461"/>
    <w:rsid w:val="00C2533C"/>
    <w:rsid w:val="00C25C6E"/>
    <w:rsid w:val="00C25CE3"/>
    <w:rsid w:val="00C260E0"/>
    <w:rsid w:val="00C2701D"/>
    <w:rsid w:val="00C3052C"/>
    <w:rsid w:val="00C305A5"/>
    <w:rsid w:val="00C30A14"/>
    <w:rsid w:val="00C30C63"/>
    <w:rsid w:val="00C311B9"/>
    <w:rsid w:val="00C315B7"/>
    <w:rsid w:val="00C3179D"/>
    <w:rsid w:val="00C31B00"/>
    <w:rsid w:val="00C321FE"/>
    <w:rsid w:val="00C3232E"/>
    <w:rsid w:val="00C32411"/>
    <w:rsid w:val="00C32F60"/>
    <w:rsid w:val="00C330ED"/>
    <w:rsid w:val="00C33205"/>
    <w:rsid w:val="00C336BC"/>
    <w:rsid w:val="00C33DD0"/>
    <w:rsid w:val="00C34D03"/>
    <w:rsid w:val="00C353C4"/>
    <w:rsid w:val="00C3541C"/>
    <w:rsid w:val="00C3569D"/>
    <w:rsid w:val="00C357BF"/>
    <w:rsid w:val="00C358B3"/>
    <w:rsid w:val="00C358ED"/>
    <w:rsid w:val="00C35A54"/>
    <w:rsid w:val="00C35D47"/>
    <w:rsid w:val="00C364E8"/>
    <w:rsid w:val="00C36953"/>
    <w:rsid w:val="00C36B28"/>
    <w:rsid w:val="00C36EB0"/>
    <w:rsid w:val="00C378B4"/>
    <w:rsid w:val="00C37A62"/>
    <w:rsid w:val="00C37F87"/>
    <w:rsid w:val="00C40BB8"/>
    <w:rsid w:val="00C40BFD"/>
    <w:rsid w:val="00C4102E"/>
    <w:rsid w:val="00C4149C"/>
    <w:rsid w:val="00C42652"/>
    <w:rsid w:val="00C427B3"/>
    <w:rsid w:val="00C428A5"/>
    <w:rsid w:val="00C4302C"/>
    <w:rsid w:val="00C4369C"/>
    <w:rsid w:val="00C43705"/>
    <w:rsid w:val="00C44305"/>
    <w:rsid w:val="00C4472F"/>
    <w:rsid w:val="00C4583D"/>
    <w:rsid w:val="00C4655F"/>
    <w:rsid w:val="00C46BF0"/>
    <w:rsid w:val="00C46E3A"/>
    <w:rsid w:val="00C47239"/>
    <w:rsid w:val="00C47D43"/>
    <w:rsid w:val="00C503C7"/>
    <w:rsid w:val="00C51357"/>
    <w:rsid w:val="00C51B75"/>
    <w:rsid w:val="00C51BE9"/>
    <w:rsid w:val="00C51BF9"/>
    <w:rsid w:val="00C51CF2"/>
    <w:rsid w:val="00C5226C"/>
    <w:rsid w:val="00C52406"/>
    <w:rsid w:val="00C5396D"/>
    <w:rsid w:val="00C5399C"/>
    <w:rsid w:val="00C55147"/>
    <w:rsid w:val="00C558EE"/>
    <w:rsid w:val="00C5638E"/>
    <w:rsid w:val="00C5651F"/>
    <w:rsid w:val="00C57A04"/>
    <w:rsid w:val="00C57D12"/>
    <w:rsid w:val="00C60020"/>
    <w:rsid w:val="00C60A1C"/>
    <w:rsid w:val="00C610A4"/>
    <w:rsid w:val="00C61AD3"/>
    <w:rsid w:val="00C61C9A"/>
    <w:rsid w:val="00C62C98"/>
    <w:rsid w:val="00C635C9"/>
    <w:rsid w:val="00C64253"/>
    <w:rsid w:val="00C64584"/>
    <w:rsid w:val="00C66431"/>
    <w:rsid w:val="00C66C28"/>
    <w:rsid w:val="00C66FBD"/>
    <w:rsid w:val="00C673D2"/>
    <w:rsid w:val="00C67986"/>
    <w:rsid w:val="00C67A07"/>
    <w:rsid w:val="00C70878"/>
    <w:rsid w:val="00C70A36"/>
    <w:rsid w:val="00C71A5D"/>
    <w:rsid w:val="00C71BBB"/>
    <w:rsid w:val="00C72234"/>
    <w:rsid w:val="00C72579"/>
    <w:rsid w:val="00C73093"/>
    <w:rsid w:val="00C73DD5"/>
    <w:rsid w:val="00C74798"/>
    <w:rsid w:val="00C74C2B"/>
    <w:rsid w:val="00C74EA0"/>
    <w:rsid w:val="00C7509B"/>
    <w:rsid w:val="00C7593A"/>
    <w:rsid w:val="00C75AA6"/>
    <w:rsid w:val="00C768EA"/>
    <w:rsid w:val="00C76B1A"/>
    <w:rsid w:val="00C76B86"/>
    <w:rsid w:val="00C77693"/>
    <w:rsid w:val="00C803B5"/>
    <w:rsid w:val="00C819C1"/>
    <w:rsid w:val="00C81FA8"/>
    <w:rsid w:val="00C83510"/>
    <w:rsid w:val="00C838F6"/>
    <w:rsid w:val="00C83D88"/>
    <w:rsid w:val="00C83F6C"/>
    <w:rsid w:val="00C842C2"/>
    <w:rsid w:val="00C84BF6"/>
    <w:rsid w:val="00C84CBF"/>
    <w:rsid w:val="00C850C0"/>
    <w:rsid w:val="00C857A7"/>
    <w:rsid w:val="00C858E6"/>
    <w:rsid w:val="00C8647F"/>
    <w:rsid w:val="00C86643"/>
    <w:rsid w:val="00C879AB"/>
    <w:rsid w:val="00C87B5D"/>
    <w:rsid w:val="00C91394"/>
    <w:rsid w:val="00C914AD"/>
    <w:rsid w:val="00C917B3"/>
    <w:rsid w:val="00C917C9"/>
    <w:rsid w:val="00C91951"/>
    <w:rsid w:val="00C921C2"/>
    <w:rsid w:val="00C925A9"/>
    <w:rsid w:val="00C9269B"/>
    <w:rsid w:val="00C92714"/>
    <w:rsid w:val="00C928C4"/>
    <w:rsid w:val="00C93807"/>
    <w:rsid w:val="00C94297"/>
    <w:rsid w:val="00C944DF"/>
    <w:rsid w:val="00C94AA8"/>
    <w:rsid w:val="00C94E10"/>
    <w:rsid w:val="00C956A2"/>
    <w:rsid w:val="00C96034"/>
    <w:rsid w:val="00C96CAE"/>
    <w:rsid w:val="00C97520"/>
    <w:rsid w:val="00C97762"/>
    <w:rsid w:val="00C978F2"/>
    <w:rsid w:val="00C97B79"/>
    <w:rsid w:val="00CA02B7"/>
    <w:rsid w:val="00CA0B0F"/>
    <w:rsid w:val="00CA1C3F"/>
    <w:rsid w:val="00CA209C"/>
    <w:rsid w:val="00CA31C4"/>
    <w:rsid w:val="00CA387C"/>
    <w:rsid w:val="00CA4197"/>
    <w:rsid w:val="00CA4242"/>
    <w:rsid w:val="00CA4CA9"/>
    <w:rsid w:val="00CA4E64"/>
    <w:rsid w:val="00CA5D81"/>
    <w:rsid w:val="00CA6932"/>
    <w:rsid w:val="00CA6AC6"/>
    <w:rsid w:val="00CA7AA6"/>
    <w:rsid w:val="00CB0B13"/>
    <w:rsid w:val="00CB19E6"/>
    <w:rsid w:val="00CB20F4"/>
    <w:rsid w:val="00CB24E3"/>
    <w:rsid w:val="00CB3069"/>
    <w:rsid w:val="00CB32C9"/>
    <w:rsid w:val="00CB3929"/>
    <w:rsid w:val="00CB3B1D"/>
    <w:rsid w:val="00CB4227"/>
    <w:rsid w:val="00CB428D"/>
    <w:rsid w:val="00CB464A"/>
    <w:rsid w:val="00CB48AC"/>
    <w:rsid w:val="00CB5026"/>
    <w:rsid w:val="00CB561A"/>
    <w:rsid w:val="00CB5C9E"/>
    <w:rsid w:val="00CB673E"/>
    <w:rsid w:val="00CB692F"/>
    <w:rsid w:val="00CB7C98"/>
    <w:rsid w:val="00CB7DD2"/>
    <w:rsid w:val="00CC0441"/>
    <w:rsid w:val="00CC1304"/>
    <w:rsid w:val="00CC1EF9"/>
    <w:rsid w:val="00CC2812"/>
    <w:rsid w:val="00CC3152"/>
    <w:rsid w:val="00CC3348"/>
    <w:rsid w:val="00CC5630"/>
    <w:rsid w:val="00CC58E1"/>
    <w:rsid w:val="00CC65F1"/>
    <w:rsid w:val="00CC6940"/>
    <w:rsid w:val="00CC6C65"/>
    <w:rsid w:val="00CC6C85"/>
    <w:rsid w:val="00CC7443"/>
    <w:rsid w:val="00CC7B2B"/>
    <w:rsid w:val="00CD00DB"/>
    <w:rsid w:val="00CD01D8"/>
    <w:rsid w:val="00CD03D2"/>
    <w:rsid w:val="00CD0B79"/>
    <w:rsid w:val="00CD0C6C"/>
    <w:rsid w:val="00CD1974"/>
    <w:rsid w:val="00CD2390"/>
    <w:rsid w:val="00CD2F31"/>
    <w:rsid w:val="00CD36B8"/>
    <w:rsid w:val="00CD494F"/>
    <w:rsid w:val="00CD498A"/>
    <w:rsid w:val="00CD54CD"/>
    <w:rsid w:val="00CD5958"/>
    <w:rsid w:val="00CD5FD9"/>
    <w:rsid w:val="00CD656C"/>
    <w:rsid w:val="00CD6591"/>
    <w:rsid w:val="00CD7004"/>
    <w:rsid w:val="00CD75B6"/>
    <w:rsid w:val="00CD7ADE"/>
    <w:rsid w:val="00CE061C"/>
    <w:rsid w:val="00CE157E"/>
    <w:rsid w:val="00CE1782"/>
    <w:rsid w:val="00CE21A6"/>
    <w:rsid w:val="00CE25C0"/>
    <w:rsid w:val="00CE264A"/>
    <w:rsid w:val="00CE3743"/>
    <w:rsid w:val="00CE3B6D"/>
    <w:rsid w:val="00CE4251"/>
    <w:rsid w:val="00CE57A4"/>
    <w:rsid w:val="00CE71C8"/>
    <w:rsid w:val="00CE7D0C"/>
    <w:rsid w:val="00CF08C3"/>
    <w:rsid w:val="00CF12F9"/>
    <w:rsid w:val="00CF157F"/>
    <w:rsid w:val="00CF279B"/>
    <w:rsid w:val="00CF2DCE"/>
    <w:rsid w:val="00CF4141"/>
    <w:rsid w:val="00CF4458"/>
    <w:rsid w:val="00CF4B93"/>
    <w:rsid w:val="00CF4F6F"/>
    <w:rsid w:val="00CF4F7A"/>
    <w:rsid w:val="00CF51CA"/>
    <w:rsid w:val="00CF5ED5"/>
    <w:rsid w:val="00CF6265"/>
    <w:rsid w:val="00CF66ED"/>
    <w:rsid w:val="00CF67B9"/>
    <w:rsid w:val="00CF6973"/>
    <w:rsid w:val="00CF7D33"/>
    <w:rsid w:val="00D00A24"/>
    <w:rsid w:val="00D014CD"/>
    <w:rsid w:val="00D02658"/>
    <w:rsid w:val="00D02963"/>
    <w:rsid w:val="00D02D2E"/>
    <w:rsid w:val="00D034F6"/>
    <w:rsid w:val="00D04D2C"/>
    <w:rsid w:val="00D04F3C"/>
    <w:rsid w:val="00D05434"/>
    <w:rsid w:val="00D05636"/>
    <w:rsid w:val="00D05AC0"/>
    <w:rsid w:val="00D05ACB"/>
    <w:rsid w:val="00D066F6"/>
    <w:rsid w:val="00D067DE"/>
    <w:rsid w:val="00D068BA"/>
    <w:rsid w:val="00D069D4"/>
    <w:rsid w:val="00D06AA5"/>
    <w:rsid w:val="00D06E01"/>
    <w:rsid w:val="00D0781E"/>
    <w:rsid w:val="00D078E4"/>
    <w:rsid w:val="00D100C3"/>
    <w:rsid w:val="00D1030E"/>
    <w:rsid w:val="00D105D3"/>
    <w:rsid w:val="00D10AD6"/>
    <w:rsid w:val="00D10BDF"/>
    <w:rsid w:val="00D10F76"/>
    <w:rsid w:val="00D11520"/>
    <w:rsid w:val="00D11B49"/>
    <w:rsid w:val="00D11B8F"/>
    <w:rsid w:val="00D11F67"/>
    <w:rsid w:val="00D122AC"/>
    <w:rsid w:val="00D122C4"/>
    <w:rsid w:val="00D12979"/>
    <w:rsid w:val="00D12CA6"/>
    <w:rsid w:val="00D1300C"/>
    <w:rsid w:val="00D1398B"/>
    <w:rsid w:val="00D13A31"/>
    <w:rsid w:val="00D13F3E"/>
    <w:rsid w:val="00D153D7"/>
    <w:rsid w:val="00D15422"/>
    <w:rsid w:val="00D16A20"/>
    <w:rsid w:val="00D16A24"/>
    <w:rsid w:val="00D17167"/>
    <w:rsid w:val="00D17558"/>
    <w:rsid w:val="00D1774F"/>
    <w:rsid w:val="00D17A5D"/>
    <w:rsid w:val="00D17CB8"/>
    <w:rsid w:val="00D20CE8"/>
    <w:rsid w:val="00D213E4"/>
    <w:rsid w:val="00D2165C"/>
    <w:rsid w:val="00D21C66"/>
    <w:rsid w:val="00D22197"/>
    <w:rsid w:val="00D22382"/>
    <w:rsid w:val="00D231E7"/>
    <w:rsid w:val="00D23D9B"/>
    <w:rsid w:val="00D2524F"/>
    <w:rsid w:val="00D2555F"/>
    <w:rsid w:val="00D25ECB"/>
    <w:rsid w:val="00D26242"/>
    <w:rsid w:val="00D268AA"/>
    <w:rsid w:val="00D271CF"/>
    <w:rsid w:val="00D2725E"/>
    <w:rsid w:val="00D27CAB"/>
    <w:rsid w:val="00D30681"/>
    <w:rsid w:val="00D31D3C"/>
    <w:rsid w:val="00D31D43"/>
    <w:rsid w:val="00D31EAB"/>
    <w:rsid w:val="00D33C7E"/>
    <w:rsid w:val="00D33CA5"/>
    <w:rsid w:val="00D34382"/>
    <w:rsid w:val="00D3470D"/>
    <w:rsid w:val="00D34BD7"/>
    <w:rsid w:val="00D34D70"/>
    <w:rsid w:val="00D34ECC"/>
    <w:rsid w:val="00D351E5"/>
    <w:rsid w:val="00D35653"/>
    <w:rsid w:val="00D356F7"/>
    <w:rsid w:val="00D35E0D"/>
    <w:rsid w:val="00D362B7"/>
    <w:rsid w:val="00D3638B"/>
    <w:rsid w:val="00D3640E"/>
    <w:rsid w:val="00D36CBE"/>
    <w:rsid w:val="00D374CD"/>
    <w:rsid w:val="00D37CED"/>
    <w:rsid w:val="00D37F6E"/>
    <w:rsid w:val="00D408A7"/>
    <w:rsid w:val="00D40C50"/>
    <w:rsid w:val="00D40CEB"/>
    <w:rsid w:val="00D42813"/>
    <w:rsid w:val="00D42936"/>
    <w:rsid w:val="00D42B4F"/>
    <w:rsid w:val="00D435C8"/>
    <w:rsid w:val="00D4452A"/>
    <w:rsid w:val="00D45C39"/>
    <w:rsid w:val="00D45D57"/>
    <w:rsid w:val="00D46A27"/>
    <w:rsid w:val="00D46DC5"/>
    <w:rsid w:val="00D46E8B"/>
    <w:rsid w:val="00D470CB"/>
    <w:rsid w:val="00D476B3"/>
    <w:rsid w:val="00D4790A"/>
    <w:rsid w:val="00D50483"/>
    <w:rsid w:val="00D50DC3"/>
    <w:rsid w:val="00D5156F"/>
    <w:rsid w:val="00D517FC"/>
    <w:rsid w:val="00D51F85"/>
    <w:rsid w:val="00D52B8B"/>
    <w:rsid w:val="00D5371D"/>
    <w:rsid w:val="00D545FB"/>
    <w:rsid w:val="00D557D8"/>
    <w:rsid w:val="00D55A14"/>
    <w:rsid w:val="00D56E82"/>
    <w:rsid w:val="00D57BC6"/>
    <w:rsid w:val="00D60B89"/>
    <w:rsid w:val="00D61297"/>
    <w:rsid w:val="00D61F89"/>
    <w:rsid w:val="00D625C5"/>
    <w:rsid w:val="00D62892"/>
    <w:rsid w:val="00D62AFB"/>
    <w:rsid w:val="00D62BFF"/>
    <w:rsid w:val="00D62E2F"/>
    <w:rsid w:val="00D6342B"/>
    <w:rsid w:val="00D64375"/>
    <w:rsid w:val="00D65A3D"/>
    <w:rsid w:val="00D65F20"/>
    <w:rsid w:val="00D661F4"/>
    <w:rsid w:val="00D663CC"/>
    <w:rsid w:val="00D6672D"/>
    <w:rsid w:val="00D6693A"/>
    <w:rsid w:val="00D6752D"/>
    <w:rsid w:val="00D7032E"/>
    <w:rsid w:val="00D70BAA"/>
    <w:rsid w:val="00D71729"/>
    <w:rsid w:val="00D71BD3"/>
    <w:rsid w:val="00D72320"/>
    <w:rsid w:val="00D73036"/>
    <w:rsid w:val="00D730DD"/>
    <w:rsid w:val="00D73F4E"/>
    <w:rsid w:val="00D73F78"/>
    <w:rsid w:val="00D741A4"/>
    <w:rsid w:val="00D748A2"/>
    <w:rsid w:val="00D767A3"/>
    <w:rsid w:val="00D76BE8"/>
    <w:rsid w:val="00D76CB5"/>
    <w:rsid w:val="00D77710"/>
    <w:rsid w:val="00D8097D"/>
    <w:rsid w:val="00D80FAE"/>
    <w:rsid w:val="00D8180F"/>
    <w:rsid w:val="00D8191F"/>
    <w:rsid w:val="00D81948"/>
    <w:rsid w:val="00D82914"/>
    <w:rsid w:val="00D829CA"/>
    <w:rsid w:val="00D83A34"/>
    <w:rsid w:val="00D843F8"/>
    <w:rsid w:val="00D84A5D"/>
    <w:rsid w:val="00D85775"/>
    <w:rsid w:val="00D863FA"/>
    <w:rsid w:val="00D8665A"/>
    <w:rsid w:val="00D86668"/>
    <w:rsid w:val="00D866A2"/>
    <w:rsid w:val="00D866F3"/>
    <w:rsid w:val="00D86DBB"/>
    <w:rsid w:val="00D86E7D"/>
    <w:rsid w:val="00D87A82"/>
    <w:rsid w:val="00D87B3E"/>
    <w:rsid w:val="00D9093B"/>
    <w:rsid w:val="00D90A04"/>
    <w:rsid w:val="00D911D2"/>
    <w:rsid w:val="00D9157F"/>
    <w:rsid w:val="00D919EA"/>
    <w:rsid w:val="00D9234E"/>
    <w:rsid w:val="00D9287F"/>
    <w:rsid w:val="00D93258"/>
    <w:rsid w:val="00D93381"/>
    <w:rsid w:val="00D934BB"/>
    <w:rsid w:val="00D94965"/>
    <w:rsid w:val="00D94DE3"/>
    <w:rsid w:val="00D94E45"/>
    <w:rsid w:val="00D95260"/>
    <w:rsid w:val="00D9579F"/>
    <w:rsid w:val="00D9594B"/>
    <w:rsid w:val="00D9617E"/>
    <w:rsid w:val="00D964A1"/>
    <w:rsid w:val="00D965ED"/>
    <w:rsid w:val="00D971E2"/>
    <w:rsid w:val="00DA037D"/>
    <w:rsid w:val="00DA0612"/>
    <w:rsid w:val="00DA0B5F"/>
    <w:rsid w:val="00DA0D9F"/>
    <w:rsid w:val="00DA0EBA"/>
    <w:rsid w:val="00DA0FBB"/>
    <w:rsid w:val="00DA18CE"/>
    <w:rsid w:val="00DA20B5"/>
    <w:rsid w:val="00DA2BB5"/>
    <w:rsid w:val="00DA31DA"/>
    <w:rsid w:val="00DA3C9C"/>
    <w:rsid w:val="00DA41B6"/>
    <w:rsid w:val="00DA453B"/>
    <w:rsid w:val="00DA4552"/>
    <w:rsid w:val="00DA52AC"/>
    <w:rsid w:val="00DA530E"/>
    <w:rsid w:val="00DA56FA"/>
    <w:rsid w:val="00DA5CD6"/>
    <w:rsid w:val="00DA5DF2"/>
    <w:rsid w:val="00DA6CD5"/>
    <w:rsid w:val="00DA718D"/>
    <w:rsid w:val="00DA727E"/>
    <w:rsid w:val="00DA7754"/>
    <w:rsid w:val="00DA785D"/>
    <w:rsid w:val="00DB0BF5"/>
    <w:rsid w:val="00DB10B2"/>
    <w:rsid w:val="00DB142F"/>
    <w:rsid w:val="00DB1653"/>
    <w:rsid w:val="00DB238A"/>
    <w:rsid w:val="00DB2617"/>
    <w:rsid w:val="00DB2FC5"/>
    <w:rsid w:val="00DB300A"/>
    <w:rsid w:val="00DB31AB"/>
    <w:rsid w:val="00DB33B2"/>
    <w:rsid w:val="00DB4F24"/>
    <w:rsid w:val="00DB510A"/>
    <w:rsid w:val="00DB52FC"/>
    <w:rsid w:val="00DB54FB"/>
    <w:rsid w:val="00DB5EE5"/>
    <w:rsid w:val="00DB629C"/>
    <w:rsid w:val="00DB68D8"/>
    <w:rsid w:val="00DB7335"/>
    <w:rsid w:val="00DB7561"/>
    <w:rsid w:val="00DB7573"/>
    <w:rsid w:val="00DB768B"/>
    <w:rsid w:val="00DC018B"/>
    <w:rsid w:val="00DC088C"/>
    <w:rsid w:val="00DC1F7D"/>
    <w:rsid w:val="00DC21D6"/>
    <w:rsid w:val="00DC255B"/>
    <w:rsid w:val="00DC29D4"/>
    <w:rsid w:val="00DC2AD1"/>
    <w:rsid w:val="00DC3349"/>
    <w:rsid w:val="00DC3585"/>
    <w:rsid w:val="00DC3D1D"/>
    <w:rsid w:val="00DC449C"/>
    <w:rsid w:val="00DC4533"/>
    <w:rsid w:val="00DC4B42"/>
    <w:rsid w:val="00DC52EE"/>
    <w:rsid w:val="00DC57B4"/>
    <w:rsid w:val="00DC6DCA"/>
    <w:rsid w:val="00DC7546"/>
    <w:rsid w:val="00DC7CDD"/>
    <w:rsid w:val="00DD0AE7"/>
    <w:rsid w:val="00DD12A1"/>
    <w:rsid w:val="00DD2B54"/>
    <w:rsid w:val="00DD2DB7"/>
    <w:rsid w:val="00DD3B3D"/>
    <w:rsid w:val="00DD3D2B"/>
    <w:rsid w:val="00DD3DFF"/>
    <w:rsid w:val="00DD3F98"/>
    <w:rsid w:val="00DD4560"/>
    <w:rsid w:val="00DD478F"/>
    <w:rsid w:val="00DD494D"/>
    <w:rsid w:val="00DD4EFA"/>
    <w:rsid w:val="00DD502F"/>
    <w:rsid w:val="00DD5798"/>
    <w:rsid w:val="00DD67AE"/>
    <w:rsid w:val="00DD6A2C"/>
    <w:rsid w:val="00DD7217"/>
    <w:rsid w:val="00DD7C80"/>
    <w:rsid w:val="00DD7E6F"/>
    <w:rsid w:val="00DD7EFF"/>
    <w:rsid w:val="00DE0130"/>
    <w:rsid w:val="00DE01CD"/>
    <w:rsid w:val="00DE054C"/>
    <w:rsid w:val="00DE06E7"/>
    <w:rsid w:val="00DE14D6"/>
    <w:rsid w:val="00DE1BA9"/>
    <w:rsid w:val="00DE47BD"/>
    <w:rsid w:val="00DE5458"/>
    <w:rsid w:val="00DE5856"/>
    <w:rsid w:val="00DE5E66"/>
    <w:rsid w:val="00DE650D"/>
    <w:rsid w:val="00DE759D"/>
    <w:rsid w:val="00DE7615"/>
    <w:rsid w:val="00DE7761"/>
    <w:rsid w:val="00DF0111"/>
    <w:rsid w:val="00DF0A15"/>
    <w:rsid w:val="00DF0B36"/>
    <w:rsid w:val="00DF151C"/>
    <w:rsid w:val="00DF24FA"/>
    <w:rsid w:val="00DF31C2"/>
    <w:rsid w:val="00DF346F"/>
    <w:rsid w:val="00DF41D2"/>
    <w:rsid w:val="00DF4776"/>
    <w:rsid w:val="00DF4B3A"/>
    <w:rsid w:val="00DF5094"/>
    <w:rsid w:val="00DF53E3"/>
    <w:rsid w:val="00DF56A9"/>
    <w:rsid w:val="00DF5770"/>
    <w:rsid w:val="00DF7048"/>
    <w:rsid w:val="00DF733E"/>
    <w:rsid w:val="00DF751B"/>
    <w:rsid w:val="00E00A14"/>
    <w:rsid w:val="00E00A65"/>
    <w:rsid w:val="00E00E3D"/>
    <w:rsid w:val="00E01290"/>
    <w:rsid w:val="00E0131C"/>
    <w:rsid w:val="00E01514"/>
    <w:rsid w:val="00E026AA"/>
    <w:rsid w:val="00E03A6F"/>
    <w:rsid w:val="00E03E67"/>
    <w:rsid w:val="00E0425D"/>
    <w:rsid w:val="00E0516B"/>
    <w:rsid w:val="00E0563A"/>
    <w:rsid w:val="00E059AB"/>
    <w:rsid w:val="00E05B67"/>
    <w:rsid w:val="00E06265"/>
    <w:rsid w:val="00E06809"/>
    <w:rsid w:val="00E1095F"/>
    <w:rsid w:val="00E10F76"/>
    <w:rsid w:val="00E1113D"/>
    <w:rsid w:val="00E11E2F"/>
    <w:rsid w:val="00E11FF8"/>
    <w:rsid w:val="00E1343B"/>
    <w:rsid w:val="00E13C34"/>
    <w:rsid w:val="00E143BB"/>
    <w:rsid w:val="00E153A7"/>
    <w:rsid w:val="00E15BF9"/>
    <w:rsid w:val="00E15DA9"/>
    <w:rsid w:val="00E15E5B"/>
    <w:rsid w:val="00E160D1"/>
    <w:rsid w:val="00E16677"/>
    <w:rsid w:val="00E16685"/>
    <w:rsid w:val="00E16C2D"/>
    <w:rsid w:val="00E1710D"/>
    <w:rsid w:val="00E17A98"/>
    <w:rsid w:val="00E17DD8"/>
    <w:rsid w:val="00E20248"/>
    <w:rsid w:val="00E20397"/>
    <w:rsid w:val="00E2275D"/>
    <w:rsid w:val="00E22C52"/>
    <w:rsid w:val="00E22C90"/>
    <w:rsid w:val="00E22DC2"/>
    <w:rsid w:val="00E245BD"/>
    <w:rsid w:val="00E27986"/>
    <w:rsid w:val="00E27D97"/>
    <w:rsid w:val="00E311EC"/>
    <w:rsid w:val="00E31D92"/>
    <w:rsid w:val="00E32376"/>
    <w:rsid w:val="00E32604"/>
    <w:rsid w:val="00E32936"/>
    <w:rsid w:val="00E33154"/>
    <w:rsid w:val="00E33BAC"/>
    <w:rsid w:val="00E34748"/>
    <w:rsid w:val="00E35C65"/>
    <w:rsid w:val="00E35D99"/>
    <w:rsid w:val="00E361D9"/>
    <w:rsid w:val="00E40382"/>
    <w:rsid w:val="00E4083A"/>
    <w:rsid w:val="00E40D50"/>
    <w:rsid w:val="00E4103A"/>
    <w:rsid w:val="00E42167"/>
    <w:rsid w:val="00E42C75"/>
    <w:rsid w:val="00E44C34"/>
    <w:rsid w:val="00E44C6A"/>
    <w:rsid w:val="00E466F6"/>
    <w:rsid w:val="00E46CAE"/>
    <w:rsid w:val="00E51584"/>
    <w:rsid w:val="00E516A9"/>
    <w:rsid w:val="00E53A06"/>
    <w:rsid w:val="00E53DD5"/>
    <w:rsid w:val="00E53FD0"/>
    <w:rsid w:val="00E5444F"/>
    <w:rsid w:val="00E54601"/>
    <w:rsid w:val="00E55CB8"/>
    <w:rsid w:val="00E560D3"/>
    <w:rsid w:val="00E5652E"/>
    <w:rsid w:val="00E5676D"/>
    <w:rsid w:val="00E56BA3"/>
    <w:rsid w:val="00E56DF5"/>
    <w:rsid w:val="00E56E02"/>
    <w:rsid w:val="00E5704E"/>
    <w:rsid w:val="00E57151"/>
    <w:rsid w:val="00E57611"/>
    <w:rsid w:val="00E5765C"/>
    <w:rsid w:val="00E57E38"/>
    <w:rsid w:val="00E60C8D"/>
    <w:rsid w:val="00E60F11"/>
    <w:rsid w:val="00E61C57"/>
    <w:rsid w:val="00E61E81"/>
    <w:rsid w:val="00E61EBE"/>
    <w:rsid w:val="00E6203D"/>
    <w:rsid w:val="00E62873"/>
    <w:rsid w:val="00E65B1F"/>
    <w:rsid w:val="00E66062"/>
    <w:rsid w:val="00E6612A"/>
    <w:rsid w:val="00E664A8"/>
    <w:rsid w:val="00E675B2"/>
    <w:rsid w:val="00E67E2B"/>
    <w:rsid w:val="00E701A4"/>
    <w:rsid w:val="00E7075B"/>
    <w:rsid w:val="00E715EA"/>
    <w:rsid w:val="00E72016"/>
    <w:rsid w:val="00E72F35"/>
    <w:rsid w:val="00E73D5F"/>
    <w:rsid w:val="00E74000"/>
    <w:rsid w:val="00E74EDB"/>
    <w:rsid w:val="00E74F84"/>
    <w:rsid w:val="00E74F85"/>
    <w:rsid w:val="00E74FA4"/>
    <w:rsid w:val="00E75329"/>
    <w:rsid w:val="00E75D21"/>
    <w:rsid w:val="00E75EA0"/>
    <w:rsid w:val="00E76F28"/>
    <w:rsid w:val="00E7750F"/>
    <w:rsid w:val="00E7774D"/>
    <w:rsid w:val="00E8023E"/>
    <w:rsid w:val="00E815EB"/>
    <w:rsid w:val="00E81E05"/>
    <w:rsid w:val="00E82999"/>
    <w:rsid w:val="00E82ADF"/>
    <w:rsid w:val="00E83D34"/>
    <w:rsid w:val="00E83E64"/>
    <w:rsid w:val="00E84100"/>
    <w:rsid w:val="00E84704"/>
    <w:rsid w:val="00E84B4B"/>
    <w:rsid w:val="00E84DFC"/>
    <w:rsid w:val="00E87B83"/>
    <w:rsid w:val="00E87D49"/>
    <w:rsid w:val="00E90284"/>
    <w:rsid w:val="00E90289"/>
    <w:rsid w:val="00E91202"/>
    <w:rsid w:val="00E91AFB"/>
    <w:rsid w:val="00E91D71"/>
    <w:rsid w:val="00E925D4"/>
    <w:rsid w:val="00E9268B"/>
    <w:rsid w:val="00E93124"/>
    <w:rsid w:val="00E9313D"/>
    <w:rsid w:val="00E93185"/>
    <w:rsid w:val="00E93684"/>
    <w:rsid w:val="00E942DC"/>
    <w:rsid w:val="00E947F8"/>
    <w:rsid w:val="00E95075"/>
    <w:rsid w:val="00E950BD"/>
    <w:rsid w:val="00E957CB"/>
    <w:rsid w:val="00E958B4"/>
    <w:rsid w:val="00E959A2"/>
    <w:rsid w:val="00E95E5D"/>
    <w:rsid w:val="00E967E2"/>
    <w:rsid w:val="00E96B3B"/>
    <w:rsid w:val="00E97031"/>
    <w:rsid w:val="00EA0FFD"/>
    <w:rsid w:val="00EA1605"/>
    <w:rsid w:val="00EA1663"/>
    <w:rsid w:val="00EA19DD"/>
    <w:rsid w:val="00EA27FA"/>
    <w:rsid w:val="00EA2A23"/>
    <w:rsid w:val="00EA2C2B"/>
    <w:rsid w:val="00EA2C54"/>
    <w:rsid w:val="00EA2DEC"/>
    <w:rsid w:val="00EA36DB"/>
    <w:rsid w:val="00EA3BC1"/>
    <w:rsid w:val="00EA3E4C"/>
    <w:rsid w:val="00EA41C8"/>
    <w:rsid w:val="00EA4500"/>
    <w:rsid w:val="00EA4A30"/>
    <w:rsid w:val="00EA4E07"/>
    <w:rsid w:val="00EA4EED"/>
    <w:rsid w:val="00EA567C"/>
    <w:rsid w:val="00EA7E64"/>
    <w:rsid w:val="00EB04C9"/>
    <w:rsid w:val="00EB067D"/>
    <w:rsid w:val="00EB0F26"/>
    <w:rsid w:val="00EB179A"/>
    <w:rsid w:val="00EB180E"/>
    <w:rsid w:val="00EB1BCD"/>
    <w:rsid w:val="00EB3A85"/>
    <w:rsid w:val="00EB3FAF"/>
    <w:rsid w:val="00EB4CA3"/>
    <w:rsid w:val="00EB5676"/>
    <w:rsid w:val="00EB671A"/>
    <w:rsid w:val="00EB7D5F"/>
    <w:rsid w:val="00EC0D09"/>
    <w:rsid w:val="00EC292B"/>
    <w:rsid w:val="00EC34BE"/>
    <w:rsid w:val="00EC3619"/>
    <w:rsid w:val="00EC4E88"/>
    <w:rsid w:val="00EC5619"/>
    <w:rsid w:val="00EC6942"/>
    <w:rsid w:val="00EC6B64"/>
    <w:rsid w:val="00EC70F9"/>
    <w:rsid w:val="00EC7AFF"/>
    <w:rsid w:val="00EC7C1B"/>
    <w:rsid w:val="00ED00CF"/>
    <w:rsid w:val="00ED0A8C"/>
    <w:rsid w:val="00ED143B"/>
    <w:rsid w:val="00ED16A4"/>
    <w:rsid w:val="00ED1809"/>
    <w:rsid w:val="00ED1D85"/>
    <w:rsid w:val="00ED22AE"/>
    <w:rsid w:val="00ED261B"/>
    <w:rsid w:val="00ED2690"/>
    <w:rsid w:val="00ED4291"/>
    <w:rsid w:val="00ED474D"/>
    <w:rsid w:val="00ED5BC9"/>
    <w:rsid w:val="00ED5C8C"/>
    <w:rsid w:val="00ED5C9A"/>
    <w:rsid w:val="00ED62DA"/>
    <w:rsid w:val="00ED67CB"/>
    <w:rsid w:val="00ED6CBD"/>
    <w:rsid w:val="00ED7100"/>
    <w:rsid w:val="00ED71D2"/>
    <w:rsid w:val="00ED746F"/>
    <w:rsid w:val="00EE0436"/>
    <w:rsid w:val="00EE0642"/>
    <w:rsid w:val="00EE076C"/>
    <w:rsid w:val="00EE12D9"/>
    <w:rsid w:val="00EE20E5"/>
    <w:rsid w:val="00EE21A7"/>
    <w:rsid w:val="00EE4667"/>
    <w:rsid w:val="00EE4688"/>
    <w:rsid w:val="00EE4959"/>
    <w:rsid w:val="00EE5386"/>
    <w:rsid w:val="00EE5D61"/>
    <w:rsid w:val="00EE5EA7"/>
    <w:rsid w:val="00EE5F80"/>
    <w:rsid w:val="00EE6A35"/>
    <w:rsid w:val="00EE7581"/>
    <w:rsid w:val="00EE7826"/>
    <w:rsid w:val="00EE79D6"/>
    <w:rsid w:val="00EE7A0B"/>
    <w:rsid w:val="00EE7EB8"/>
    <w:rsid w:val="00EE7F34"/>
    <w:rsid w:val="00EE7F5F"/>
    <w:rsid w:val="00EF0069"/>
    <w:rsid w:val="00EF029C"/>
    <w:rsid w:val="00EF0E3F"/>
    <w:rsid w:val="00EF167B"/>
    <w:rsid w:val="00EF1B7C"/>
    <w:rsid w:val="00EF1E75"/>
    <w:rsid w:val="00EF2326"/>
    <w:rsid w:val="00EF265E"/>
    <w:rsid w:val="00EF2B46"/>
    <w:rsid w:val="00EF2C7B"/>
    <w:rsid w:val="00EF3BB2"/>
    <w:rsid w:val="00EF3C6B"/>
    <w:rsid w:val="00EF45A4"/>
    <w:rsid w:val="00EF4F45"/>
    <w:rsid w:val="00EF5F30"/>
    <w:rsid w:val="00EF6C34"/>
    <w:rsid w:val="00EF7D01"/>
    <w:rsid w:val="00EF7F2E"/>
    <w:rsid w:val="00F00490"/>
    <w:rsid w:val="00F004FF"/>
    <w:rsid w:val="00F0066D"/>
    <w:rsid w:val="00F009DD"/>
    <w:rsid w:val="00F00B75"/>
    <w:rsid w:val="00F00F46"/>
    <w:rsid w:val="00F01C1A"/>
    <w:rsid w:val="00F01C6F"/>
    <w:rsid w:val="00F0328E"/>
    <w:rsid w:val="00F03F5B"/>
    <w:rsid w:val="00F0473F"/>
    <w:rsid w:val="00F049A3"/>
    <w:rsid w:val="00F04C47"/>
    <w:rsid w:val="00F04CAB"/>
    <w:rsid w:val="00F04E60"/>
    <w:rsid w:val="00F05260"/>
    <w:rsid w:val="00F0544B"/>
    <w:rsid w:val="00F05466"/>
    <w:rsid w:val="00F05DE1"/>
    <w:rsid w:val="00F06382"/>
    <w:rsid w:val="00F06ECD"/>
    <w:rsid w:val="00F105E8"/>
    <w:rsid w:val="00F10639"/>
    <w:rsid w:val="00F10AE4"/>
    <w:rsid w:val="00F10F58"/>
    <w:rsid w:val="00F11016"/>
    <w:rsid w:val="00F112FF"/>
    <w:rsid w:val="00F11522"/>
    <w:rsid w:val="00F116FC"/>
    <w:rsid w:val="00F13062"/>
    <w:rsid w:val="00F1392C"/>
    <w:rsid w:val="00F14886"/>
    <w:rsid w:val="00F14D42"/>
    <w:rsid w:val="00F14F57"/>
    <w:rsid w:val="00F15F33"/>
    <w:rsid w:val="00F166A8"/>
    <w:rsid w:val="00F1682B"/>
    <w:rsid w:val="00F16AA5"/>
    <w:rsid w:val="00F1706F"/>
    <w:rsid w:val="00F17984"/>
    <w:rsid w:val="00F17C50"/>
    <w:rsid w:val="00F17E61"/>
    <w:rsid w:val="00F17F19"/>
    <w:rsid w:val="00F20054"/>
    <w:rsid w:val="00F210B5"/>
    <w:rsid w:val="00F21322"/>
    <w:rsid w:val="00F217C4"/>
    <w:rsid w:val="00F21BA9"/>
    <w:rsid w:val="00F225BE"/>
    <w:rsid w:val="00F22F0C"/>
    <w:rsid w:val="00F23729"/>
    <w:rsid w:val="00F237D8"/>
    <w:rsid w:val="00F23ACA"/>
    <w:rsid w:val="00F23BCA"/>
    <w:rsid w:val="00F24279"/>
    <w:rsid w:val="00F24BD8"/>
    <w:rsid w:val="00F25068"/>
    <w:rsid w:val="00F25FB6"/>
    <w:rsid w:val="00F27244"/>
    <w:rsid w:val="00F27505"/>
    <w:rsid w:val="00F27787"/>
    <w:rsid w:val="00F278E8"/>
    <w:rsid w:val="00F27E54"/>
    <w:rsid w:val="00F3012A"/>
    <w:rsid w:val="00F3031F"/>
    <w:rsid w:val="00F30D20"/>
    <w:rsid w:val="00F310CD"/>
    <w:rsid w:val="00F31429"/>
    <w:rsid w:val="00F323B3"/>
    <w:rsid w:val="00F32B3A"/>
    <w:rsid w:val="00F331FA"/>
    <w:rsid w:val="00F3402F"/>
    <w:rsid w:val="00F34803"/>
    <w:rsid w:val="00F34D7C"/>
    <w:rsid w:val="00F356D3"/>
    <w:rsid w:val="00F35741"/>
    <w:rsid w:val="00F35AE1"/>
    <w:rsid w:val="00F35D8E"/>
    <w:rsid w:val="00F35FD3"/>
    <w:rsid w:val="00F36458"/>
    <w:rsid w:val="00F36477"/>
    <w:rsid w:val="00F36AF1"/>
    <w:rsid w:val="00F36B4B"/>
    <w:rsid w:val="00F37CC5"/>
    <w:rsid w:val="00F37EC0"/>
    <w:rsid w:val="00F41825"/>
    <w:rsid w:val="00F4240B"/>
    <w:rsid w:val="00F43B57"/>
    <w:rsid w:val="00F43C69"/>
    <w:rsid w:val="00F43ECF"/>
    <w:rsid w:val="00F44BDB"/>
    <w:rsid w:val="00F44EBA"/>
    <w:rsid w:val="00F4610B"/>
    <w:rsid w:val="00F467EB"/>
    <w:rsid w:val="00F46F51"/>
    <w:rsid w:val="00F4787A"/>
    <w:rsid w:val="00F4791F"/>
    <w:rsid w:val="00F5063E"/>
    <w:rsid w:val="00F50D23"/>
    <w:rsid w:val="00F51B7B"/>
    <w:rsid w:val="00F52751"/>
    <w:rsid w:val="00F52B07"/>
    <w:rsid w:val="00F5394A"/>
    <w:rsid w:val="00F53AC8"/>
    <w:rsid w:val="00F54F5B"/>
    <w:rsid w:val="00F55516"/>
    <w:rsid w:val="00F55A88"/>
    <w:rsid w:val="00F564CF"/>
    <w:rsid w:val="00F56603"/>
    <w:rsid w:val="00F568D1"/>
    <w:rsid w:val="00F56C1B"/>
    <w:rsid w:val="00F56F8B"/>
    <w:rsid w:val="00F60F05"/>
    <w:rsid w:val="00F61F18"/>
    <w:rsid w:val="00F62768"/>
    <w:rsid w:val="00F63737"/>
    <w:rsid w:val="00F637B7"/>
    <w:rsid w:val="00F63938"/>
    <w:rsid w:val="00F63A32"/>
    <w:rsid w:val="00F63A75"/>
    <w:rsid w:val="00F64035"/>
    <w:rsid w:val="00F6411E"/>
    <w:rsid w:val="00F64317"/>
    <w:rsid w:val="00F6562D"/>
    <w:rsid w:val="00F66240"/>
    <w:rsid w:val="00F66915"/>
    <w:rsid w:val="00F67182"/>
    <w:rsid w:val="00F671E5"/>
    <w:rsid w:val="00F67C4D"/>
    <w:rsid w:val="00F7029A"/>
    <w:rsid w:val="00F7071C"/>
    <w:rsid w:val="00F708EC"/>
    <w:rsid w:val="00F70D5A"/>
    <w:rsid w:val="00F70FD7"/>
    <w:rsid w:val="00F7126E"/>
    <w:rsid w:val="00F712FC"/>
    <w:rsid w:val="00F7189D"/>
    <w:rsid w:val="00F723BF"/>
    <w:rsid w:val="00F72C52"/>
    <w:rsid w:val="00F72DA6"/>
    <w:rsid w:val="00F73043"/>
    <w:rsid w:val="00F733DB"/>
    <w:rsid w:val="00F73773"/>
    <w:rsid w:val="00F74A7D"/>
    <w:rsid w:val="00F74AA0"/>
    <w:rsid w:val="00F74BDF"/>
    <w:rsid w:val="00F74EEE"/>
    <w:rsid w:val="00F758CF"/>
    <w:rsid w:val="00F765C6"/>
    <w:rsid w:val="00F76B59"/>
    <w:rsid w:val="00F76BB7"/>
    <w:rsid w:val="00F76E0B"/>
    <w:rsid w:val="00F77920"/>
    <w:rsid w:val="00F77CEC"/>
    <w:rsid w:val="00F80410"/>
    <w:rsid w:val="00F807C0"/>
    <w:rsid w:val="00F809F7"/>
    <w:rsid w:val="00F81CC9"/>
    <w:rsid w:val="00F81D75"/>
    <w:rsid w:val="00F81D8A"/>
    <w:rsid w:val="00F8228F"/>
    <w:rsid w:val="00F823EA"/>
    <w:rsid w:val="00F82FD0"/>
    <w:rsid w:val="00F83F54"/>
    <w:rsid w:val="00F84ED4"/>
    <w:rsid w:val="00F85361"/>
    <w:rsid w:val="00F8549E"/>
    <w:rsid w:val="00F8569C"/>
    <w:rsid w:val="00F85C4B"/>
    <w:rsid w:val="00F8664C"/>
    <w:rsid w:val="00F86A7E"/>
    <w:rsid w:val="00F87CBF"/>
    <w:rsid w:val="00F90B65"/>
    <w:rsid w:val="00F9121B"/>
    <w:rsid w:val="00F93D05"/>
    <w:rsid w:val="00F9419B"/>
    <w:rsid w:val="00F94CB2"/>
    <w:rsid w:val="00F94D79"/>
    <w:rsid w:val="00F9526A"/>
    <w:rsid w:val="00F959E9"/>
    <w:rsid w:val="00F96100"/>
    <w:rsid w:val="00F96E91"/>
    <w:rsid w:val="00F96F23"/>
    <w:rsid w:val="00F9732D"/>
    <w:rsid w:val="00F97346"/>
    <w:rsid w:val="00F97554"/>
    <w:rsid w:val="00F97703"/>
    <w:rsid w:val="00F9798F"/>
    <w:rsid w:val="00F97DDE"/>
    <w:rsid w:val="00F97DE3"/>
    <w:rsid w:val="00FA1125"/>
    <w:rsid w:val="00FA12CF"/>
    <w:rsid w:val="00FA15DF"/>
    <w:rsid w:val="00FA1A63"/>
    <w:rsid w:val="00FA1B22"/>
    <w:rsid w:val="00FA1D38"/>
    <w:rsid w:val="00FA1F76"/>
    <w:rsid w:val="00FA2CE7"/>
    <w:rsid w:val="00FA2E66"/>
    <w:rsid w:val="00FA4ABE"/>
    <w:rsid w:val="00FA4CEB"/>
    <w:rsid w:val="00FA51E8"/>
    <w:rsid w:val="00FA6FA3"/>
    <w:rsid w:val="00FA749E"/>
    <w:rsid w:val="00FA78B2"/>
    <w:rsid w:val="00FB030B"/>
    <w:rsid w:val="00FB0724"/>
    <w:rsid w:val="00FB2357"/>
    <w:rsid w:val="00FB2390"/>
    <w:rsid w:val="00FB3D72"/>
    <w:rsid w:val="00FB3EBC"/>
    <w:rsid w:val="00FB484C"/>
    <w:rsid w:val="00FB4895"/>
    <w:rsid w:val="00FB4DBE"/>
    <w:rsid w:val="00FB5671"/>
    <w:rsid w:val="00FB587B"/>
    <w:rsid w:val="00FB62DC"/>
    <w:rsid w:val="00FB6C5E"/>
    <w:rsid w:val="00FB7467"/>
    <w:rsid w:val="00FB761F"/>
    <w:rsid w:val="00FB7EB4"/>
    <w:rsid w:val="00FC0C5B"/>
    <w:rsid w:val="00FC0F5D"/>
    <w:rsid w:val="00FC124E"/>
    <w:rsid w:val="00FC1F1E"/>
    <w:rsid w:val="00FC1F2B"/>
    <w:rsid w:val="00FC25C1"/>
    <w:rsid w:val="00FC2878"/>
    <w:rsid w:val="00FC3008"/>
    <w:rsid w:val="00FC3021"/>
    <w:rsid w:val="00FC36D2"/>
    <w:rsid w:val="00FC3FD1"/>
    <w:rsid w:val="00FC4098"/>
    <w:rsid w:val="00FC532F"/>
    <w:rsid w:val="00FC54E8"/>
    <w:rsid w:val="00FC61F7"/>
    <w:rsid w:val="00FC6E0B"/>
    <w:rsid w:val="00FC735A"/>
    <w:rsid w:val="00FC795E"/>
    <w:rsid w:val="00FC7C62"/>
    <w:rsid w:val="00FC7DCB"/>
    <w:rsid w:val="00FC7FE3"/>
    <w:rsid w:val="00FD004E"/>
    <w:rsid w:val="00FD0495"/>
    <w:rsid w:val="00FD0A31"/>
    <w:rsid w:val="00FD0E6B"/>
    <w:rsid w:val="00FD0F6C"/>
    <w:rsid w:val="00FD1926"/>
    <w:rsid w:val="00FD1D90"/>
    <w:rsid w:val="00FD2137"/>
    <w:rsid w:val="00FD2728"/>
    <w:rsid w:val="00FD28B5"/>
    <w:rsid w:val="00FD2C5F"/>
    <w:rsid w:val="00FD2D06"/>
    <w:rsid w:val="00FD39AA"/>
    <w:rsid w:val="00FD3D8E"/>
    <w:rsid w:val="00FD4949"/>
    <w:rsid w:val="00FD4DE1"/>
    <w:rsid w:val="00FD4F00"/>
    <w:rsid w:val="00FD50B6"/>
    <w:rsid w:val="00FD50BF"/>
    <w:rsid w:val="00FD50C6"/>
    <w:rsid w:val="00FD5A71"/>
    <w:rsid w:val="00FD5FF1"/>
    <w:rsid w:val="00FD64CD"/>
    <w:rsid w:val="00FD6578"/>
    <w:rsid w:val="00FD7752"/>
    <w:rsid w:val="00FE0637"/>
    <w:rsid w:val="00FE0F95"/>
    <w:rsid w:val="00FE1A53"/>
    <w:rsid w:val="00FE3983"/>
    <w:rsid w:val="00FE469B"/>
    <w:rsid w:val="00FE5B99"/>
    <w:rsid w:val="00FE689C"/>
    <w:rsid w:val="00FE69BE"/>
    <w:rsid w:val="00FE6B95"/>
    <w:rsid w:val="00FF043B"/>
    <w:rsid w:val="00FF0514"/>
    <w:rsid w:val="00FF064C"/>
    <w:rsid w:val="00FF0F71"/>
    <w:rsid w:val="00FF13B4"/>
    <w:rsid w:val="00FF17B3"/>
    <w:rsid w:val="00FF2A28"/>
    <w:rsid w:val="00FF4753"/>
    <w:rsid w:val="00FF4A7E"/>
    <w:rsid w:val="00FF5749"/>
    <w:rsid w:val="00FF59E5"/>
    <w:rsid w:val="00FF5B80"/>
    <w:rsid w:val="00FF6032"/>
    <w:rsid w:val="00FF6480"/>
    <w:rsid w:val="00FF667D"/>
    <w:rsid w:val="00FF6975"/>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0AC6"/>
  <w15:docId w15:val="{5F8289FF-61AC-4F82-BB1A-6BE517C9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23"/>
    <w:pPr>
      <w:spacing w:after="120" w:line="280" w:lineRule="exact"/>
    </w:pPr>
    <w:rPr>
      <w:rFonts w:ascii="Dubai Light" w:hAnsi="Dubai Light"/>
      <w:sz w:val="24"/>
    </w:rPr>
  </w:style>
  <w:style w:type="paragraph" w:styleId="Heading1">
    <w:name w:val="heading 1"/>
    <w:basedOn w:val="Normal"/>
    <w:next w:val="Normal"/>
    <w:link w:val="Heading1Char"/>
    <w:uiPriority w:val="9"/>
    <w:qFormat/>
    <w:rsid w:val="00944A86"/>
    <w:pPr>
      <w:keepNext/>
      <w:keepLines/>
      <w:spacing w:before="400" w:line="400" w:lineRule="exact"/>
      <w:outlineLvl w:val="0"/>
    </w:pPr>
    <w:rPr>
      <w:rFonts w:ascii="Dubai" w:eastAsiaTheme="majorEastAsia" w:hAnsi="Dubai" w:cstheme="majorBidi"/>
      <w:color w:val="880000"/>
      <w:sz w:val="40"/>
      <w:szCs w:val="32"/>
    </w:rPr>
  </w:style>
  <w:style w:type="paragraph" w:styleId="Heading2">
    <w:name w:val="heading 2"/>
    <w:basedOn w:val="Normal"/>
    <w:next w:val="Normal"/>
    <w:link w:val="Heading2Char"/>
    <w:uiPriority w:val="9"/>
    <w:unhideWhenUsed/>
    <w:qFormat/>
    <w:rsid w:val="002C61AB"/>
    <w:pPr>
      <w:keepNext/>
      <w:keepLines/>
      <w:spacing w:before="200" w:after="40" w:line="320" w:lineRule="exact"/>
      <w:outlineLvl w:val="1"/>
    </w:pPr>
    <w:rPr>
      <w:rFonts w:ascii="Dubai" w:eastAsiaTheme="majorEastAsia" w:hAnsi="Dubai" w:cstheme="majorBidi"/>
      <w:b/>
      <w:color w:val="880000"/>
      <w:sz w:val="32"/>
      <w:szCs w:val="26"/>
    </w:rPr>
  </w:style>
  <w:style w:type="paragraph" w:styleId="Heading3">
    <w:name w:val="heading 3"/>
    <w:basedOn w:val="Normal"/>
    <w:next w:val="Normal"/>
    <w:link w:val="Heading3Char"/>
    <w:uiPriority w:val="9"/>
    <w:unhideWhenUsed/>
    <w:qFormat/>
    <w:rsid w:val="002C61AB"/>
    <w:pPr>
      <w:keepNext/>
      <w:keepLines/>
      <w:spacing w:before="120" w:after="40"/>
      <w:ind w:right="1134"/>
      <w:outlineLvl w:val="2"/>
    </w:pPr>
    <w:rPr>
      <w:rFonts w:ascii="Dubai" w:eastAsiaTheme="majorEastAsia" w:hAnsi="Dubai" w:cstheme="majorBidi"/>
      <w:b/>
      <w:color w:val="880000"/>
      <w:szCs w:val="24"/>
    </w:rPr>
  </w:style>
  <w:style w:type="paragraph" w:styleId="Heading4">
    <w:name w:val="heading 4"/>
    <w:basedOn w:val="Normal"/>
    <w:next w:val="Normal"/>
    <w:link w:val="Heading4Char"/>
    <w:uiPriority w:val="9"/>
    <w:unhideWhenUsed/>
    <w:qFormat/>
    <w:rsid w:val="00E20397"/>
    <w:pPr>
      <w:keepNext/>
      <w:keepLines/>
      <w:spacing w:after="0"/>
      <w:outlineLvl w:val="3"/>
    </w:pPr>
    <w:rPr>
      <w:rFonts w:ascii="Dubai" w:eastAsiaTheme="majorEastAsia" w:hAnsi="Dubai" w:cstheme="majorBidi"/>
      <w:b/>
      <w:iCs/>
      <w:color w:val="C00000"/>
    </w:rPr>
  </w:style>
  <w:style w:type="paragraph" w:styleId="Heading5">
    <w:name w:val="heading 5"/>
    <w:basedOn w:val="Normal"/>
    <w:next w:val="Normal"/>
    <w:link w:val="Heading5Char"/>
    <w:uiPriority w:val="9"/>
    <w:unhideWhenUsed/>
    <w:qFormat/>
    <w:rsid w:val="00A05AA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B76EE3"/>
    <w:pPr>
      <w:keepNext/>
      <w:keepLines/>
      <w:spacing w:before="240"/>
      <w:ind w:left="851" w:right="567" w:hanging="851"/>
      <w:outlineLvl w:val="5"/>
    </w:pPr>
    <w:rPr>
      <w:rFonts w:ascii="Dubai" w:eastAsiaTheme="majorEastAsia" w:hAnsi="Duba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A86"/>
    <w:rPr>
      <w:rFonts w:ascii="Dubai" w:eastAsiaTheme="majorEastAsia" w:hAnsi="Dubai" w:cstheme="majorBidi"/>
      <w:color w:val="880000"/>
      <w:sz w:val="40"/>
      <w:szCs w:val="32"/>
    </w:rPr>
  </w:style>
  <w:style w:type="character" w:customStyle="1" w:styleId="Heading2Char">
    <w:name w:val="Heading 2 Char"/>
    <w:basedOn w:val="DefaultParagraphFont"/>
    <w:link w:val="Heading2"/>
    <w:uiPriority w:val="9"/>
    <w:rsid w:val="002C61AB"/>
    <w:rPr>
      <w:rFonts w:ascii="Dubai" w:eastAsiaTheme="majorEastAsia" w:hAnsi="Dubai" w:cstheme="majorBidi"/>
      <w:b/>
      <w:color w:val="880000"/>
      <w:sz w:val="32"/>
      <w:szCs w:val="26"/>
    </w:rPr>
  </w:style>
  <w:style w:type="character" w:customStyle="1" w:styleId="Heading3Char">
    <w:name w:val="Heading 3 Char"/>
    <w:basedOn w:val="DefaultParagraphFont"/>
    <w:link w:val="Heading3"/>
    <w:uiPriority w:val="9"/>
    <w:rsid w:val="002C61AB"/>
    <w:rPr>
      <w:rFonts w:ascii="Dubai" w:eastAsiaTheme="majorEastAsia" w:hAnsi="Dubai" w:cstheme="majorBidi"/>
      <w:b/>
      <w:color w:val="880000"/>
      <w:sz w:val="24"/>
      <w:szCs w:val="24"/>
    </w:rPr>
  </w:style>
  <w:style w:type="character" w:customStyle="1" w:styleId="Heading4Char">
    <w:name w:val="Heading 4 Char"/>
    <w:basedOn w:val="DefaultParagraphFont"/>
    <w:link w:val="Heading4"/>
    <w:uiPriority w:val="9"/>
    <w:rsid w:val="00E20397"/>
    <w:rPr>
      <w:rFonts w:ascii="Dubai" w:eastAsiaTheme="majorEastAsia" w:hAnsi="Dubai" w:cstheme="majorBidi"/>
      <w:b/>
      <w:iCs/>
      <w:color w:val="C00000"/>
      <w:sz w:val="24"/>
    </w:rPr>
  </w:style>
  <w:style w:type="character" w:customStyle="1" w:styleId="Heading5Char">
    <w:name w:val="Heading 5 Char"/>
    <w:basedOn w:val="DefaultParagraphFont"/>
    <w:link w:val="Heading5"/>
    <w:uiPriority w:val="9"/>
    <w:rsid w:val="00A05AA1"/>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rsid w:val="00B76EE3"/>
    <w:rPr>
      <w:rFonts w:ascii="Dubai" w:eastAsiaTheme="majorEastAsia" w:hAnsi="Dubai" w:cstheme="majorBidi"/>
      <w:sz w:val="24"/>
    </w:rPr>
  </w:style>
  <w:style w:type="character" w:styleId="CommentReference">
    <w:name w:val="annotation reference"/>
    <w:basedOn w:val="DefaultParagraphFont"/>
    <w:uiPriority w:val="99"/>
    <w:semiHidden/>
    <w:unhideWhenUsed/>
    <w:rsid w:val="00613634"/>
    <w:rPr>
      <w:sz w:val="16"/>
      <w:szCs w:val="16"/>
    </w:rPr>
  </w:style>
  <w:style w:type="paragraph" w:styleId="CommentText">
    <w:name w:val="annotation text"/>
    <w:basedOn w:val="Normal"/>
    <w:link w:val="CommentTextChar"/>
    <w:uiPriority w:val="99"/>
    <w:unhideWhenUsed/>
    <w:rsid w:val="00613634"/>
    <w:rPr>
      <w:sz w:val="20"/>
      <w:szCs w:val="20"/>
    </w:rPr>
  </w:style>
  <w:style w:type="character" w:customStyle="1" w:styleId="CommentTextChar">
    <w:name w:val="Comment Text Char"/>
    <w:basedOn w:val="DefaultParagraphFont"/>
    <w:link w:val="CommentText"/>
    <w:uiPriority w:val="99"/>
    <w:rsid w:val="00613634"/>
    <w:rPr>
      <w:sz w:val="20"/>
      <w:szCs w:val="20"/>
    </w:rPr>
  </w:style>
  <w:style w:type="paragraph" w:styleId="CommentSubject">
    <w:name w:val="annotation subject"/>
    <w:basedOn w:val="CommentText"/>
    <w:next w:val="CommentText"/>
    <w:link w:val="CommentSubjectChar"/>
    <w:uiPriority w:val="99"/>
    <w:semiHidden/>
    <w:unhideWhenUsed/>
    <w:rsid w:val="00613634"/>
    <w:rPr>
      <w:b/>
      <w:bCs/>
    </w:rPr>
  </w:style>
  <w:style w:type="character" w:customStyle="1" w:styleId="CommentSubjectChar">
    <w:name w:val="Comment Subject Char"/>
    <w:basedOn w:val="CommentTextChar"/>
    <w:link w:val="CommentSubject"/>
    <w:uiPriority w:val="99"/>
    <w:semiHidden/>
    <w:rsid w:val="00613634"/>
    <w:rPr>
      <w:b/>
      <w:bCs/>
      <w:sz w:val="20"/>
      <w:szCs w:val="20"/>
    </w:rPr>
  </w:style>
  <w:style w:type="paragraph" w:styleId="BalloonText">
    <w:name w:val="Balloon Text"/>
    <w:basedOn w:val="Normal"/>
    <w:link w:val="BalloonTextChar"/>
    <w:uiPriority w:val="99"/>
    <w:semiHidden/>
    <w:unhideWhenUsed/>
    <w:rsid w:val="006136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34"/>
    <w:rPr>
      <w:rFonts w:ascii="Segoe UI" w:hAnsi="Segoe UI" w:cs="Segoe UI"/>
      <w:sz w:val="18"/>
      <w:szCs w:val="18"/>
    </w:rPr>
  </w:style>
  <w:style w:type="table" w:styleId="TableGrid">
    <w:name w:val="Table Grid"/>
    <w:basedOn w:val="TableNormal"/>
    <w:uiPriority w:val="39"/>
    <w:rsid w:val="002E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158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41428"/>
    <w:rPr>
      <w:rFonts w:eastAsiaTheme="minorEastAsia"/>
      <w:lang w:val="en-US"/>
    </w:rPr>
  </w:style>
  <w:style w:type="paragraph" w:styleId="ListParagraph">
    <w:name w:val="List Paragraph"/>
    <w:basedOn w:val="Normal"/>
    <w:link w:val="ListParagraphChar"/>
    <w:uiPriority w:val="34"/>
    <w:qFormat/>
    <w:rsid w:val="006D1786"/>
    <w:pPr>
      <w:ind w:left="720" w:right="851"/>
      <w:contextualSpacing/>
    </w:pPr>
  </w:style>
  <w:style w:type="character" w:customStyle="1" w:styleId="ListParagraphChar">
    <w:name w:val="List Paragraph Char"/>
    <w:basedOn w:val="DefaultParagraphFont"/>
    <w:link w:val="ListParagraph"/>
    <w:uiPriority w:val="34"/>
    <w:rsid w:val="006D1786"/>
    <w:rPr>
      <w:sz w:val="24"/>
    </w:rPr>
  </w:style>
  <w:style w:type="paragraph" w:styleId="Caption">
    <w:name w:val="caption"/>
    <w:basedOn w:val="Normal"/>
    <w:next w:val="Normal"/>
    <w:uiPriority w:val="35"/>
    <w:unhideWhenUsed/>
    <w:qFormat/>
    <w:rsid w:val="005A020F"/>
    <w:pPr>
      <w:spacing w:before="40"/>
    </w:pPr>
    <w:rPr>
      <w:i/>
      <w:iCs/>
      <w:sz w:val="20"/>
      <w:szCs w:val="18"/>
    </w:rPr>
  </w:style>
  <w:style w:type="paragraph" w:styleId="Header">
    <w:name w:val="header"/>
    <w:basedOn w:val="Normal"/>
    <w:link w:val="HeaderChar"/>
    <w:uiPriority w:val="99"/>
    <w:unhideWhenUsed/>
    <w:rsid w:val="002477D4"/>
    <w:pPr>
      <w:pBdr>
        <w:bottom w:val="single" w:sz="4" w:space="1" w:color="auto"/>
      </w:pBd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2477D4"/>
    <w:rPr>
      <w:rFonts w:ascii="Dubai Light" w:hAnsi="Dubai Light"/>
      <w:sz w:val="20"/>
    </w:rPr>
  </w:style>
  <w:style w:type="paragraph" w:styleId="Footer">
    <w:name w:val="footer"/>
    <w:basedOn w:val="Normal"/>
    <w:link w:val="FooterChar"/>
    <w:uiPriority w:val="99"/>
    <w:unhideWhenUsed/>
    <w:rsid w:val="004F6DD8"/>
    <w:pPr>
      <w:tabs>
        <w:tab w:val="center" w:pos="4513"/>
        <w:tab w:val="right" w:pos="9026"/>
      </w:tabs>
      <w:spacing w:after="0"/>
    </w:pPr>
  </w:style>
  <w:style w:type="character" w:customStyle="1" w:styleId="FooterChar">
    <w:name w:val="Footer Char"/>
    <w:basedOn w:val="DefaultParagraphFont"/>
    <w:link w:val="Footer"/>
    <w:uiPriority w:val="99"/>
    <w:rsid w:val="004F6DD8"/>
  </w:style>
  <w:style w:type="paragraph" w:customStyle="1" w:styleId="Bullet">
    <w:name w:val="Bullet"/>
    <w:basedOn w:val="ListParagraph"/>
    <w:qFormat/>
    <w:rsid w:val="00900131"/>
    <w:pPr>
      <w:numPr>
        <w:numId w:val="6"/>
      </w:numPr>
      <w:spacing w:after="60"/>
      <w:ind w:left="851" w:right="567" w:hanging="284"/>
      <w:contextualSpacing w:val="0"/>
    </w:pPr>
    <w:rPr>
      <w:color w:val="000000"/>
      <w:szCs w:val="24"/>
    </w:rPr>
  </w:style>
  <w:style w:type="paragraph" w:styleId="Revision">
    <w:name w:val="Revision"/>
    <w:hidden/>
    <w:uiPriority w:val="99"/>
    <w:semiHidden/>
    <w:rsid w:val="00166A8C"/>
    <w:pPr>
      <w:spacing w:after="0" w:line="240" w:lineRule="auto"/>
    </w:pPr>
  </w:style>
  <w:style w:type="paragraph" w:styleId="EndnoteText">
    <w:name w:val="endnote text"/>
    <w:basedOn w:val="Normal"/>
    <w:link w:val="EndnoteTextChar"/>
    <w:uiPriority w:val="99"/>
    <w:semiHidden/>
    <w:unhideWhenUsed/>
    <w:rsid w:val="00035D34"/>
    <w:pPr>
      <w:spacing w:after="0"/>
    </w:pPr>
    <w:rPr>
      <w:sz w:val="20"/>
      <w:szCs w:val="20"/>
    </w:rPr>
  </w:style>
  <w:style w:type="character" w:customStyle="1" w:styleId="EndnoteTextChar">
    <w:name w:val="Endnote Text Char"/>
    <w:basedOn w:val="DefaultParagraphFont"/>
    <w:link w:val="EndnoteText"/>
    <w:uiPriority w:val="99"/>
    <w:semiHidden/>
    <w:rsid w:val="00035D34"/>
    <w:rPr>
      <w:sz w:val="20"/>
      <w:szCs w:val="20"/>
    </w:rPr>
  </w:style>
  <w:style w:type="character" w:styleId="EndnoteReference">
    <w:name w:val="endnote reference"/>
    <w:basedOn w:val="DefaultParagraphFont"/>
    <w:uiPriority w:val="99"/>
    <w:semiHidden/>
    <w:unhideWhenUsed/>
    <w:rsid w:val="00035D34"/>
    <w:rPr>
      <w:vertAlign w:val="superscript"/>
    </w:rPr>
  </w:style>
  <w:style w:type="paragraph" w:styleId="FootnoteText">
    <w:name w:val="footnote text"/>
    <w:basedOn w:val="Normal"/>
    <w:link w:val="FootnoteTextChar"/>
    <w:uiPriority w:val="99"/>
    <w:unhideWhenUsed/>
    <w:rsid w:val="00C51BE9"/>
    <w:pPr>
      <w:spacing w:after="0" w:line="240" w:lineRule="exact"/>
      <w:ind w:left="170" w:right="567" w:hanging="170"/>
    </w:pPr>
    <w:rPr>
      <w:sz w:val="20"/>
      <w:szCs w:val="20"/>
    </w:rPr>
  </w:style>
  <w:style w:type="character" w:customStyle="1" w:styleId="FootnoteTextChar">
    <w:name w:val="Footnote Text Char"/>
    <w:basedOn w:val="DefaultParagraphFont"/>
    <w:link w:val="FootnoteText"/>
    <w:uiPriority w:val="99"/>
    <w:rsid w:val="00C51BE9"/>
    <w:rPr>
      <w:rFonts w:ascii="Dubai Light" w:hAnsi="Dubai Light"/>
      <w:sz w:val="20"/>
      <w:szCs w:val="20"/>
    </w:rPr>
  </w:style>
  <w:style w:type="character" w:styleId="FootnoteReference">
    <w:name w:val="footnote reference"/>
    <w:basedOn w:val="DefaultParagraphFont"/>
    <w:uiPriority w:val="99"/>
    <w:unhideWhenUsed/>
    <w:rsid w:val="00035D34"/>
    <w:rPr>
      <w:vertAlign w:val="superscript"/>
    </w:rPr>
  </w:style>
  <w:style w:type="paragraph" w:styleId="TOCHeading">
    <w:name w:val="TOC Heading"/>
    <w:basedOn w:val="Heading1"/>
    <w:next w:val="Normal"/>
    <w:uiPriority w:val="39"/>
    <w:unhideWhenUsed/>
    <w:qFormat/>
    <w:rsid w:val="00FD5FF1"/>
    <w:pPr>
      <w:outlineLvl w:val="9"/>
    </w:pPr>
    <w:rPr>
      <w:lang w:val="en-US"/>
    </w:rPr>
  </w:style>
  <w:style w:type="paragraph" w:styleId="TOC1">
    <w:name w:val="toc 1"/>
    <w:basedOn w:val="Normal"/>
    <w:next w:val="Normal"/>
    <w:autoRedefine/>
    <w:uiPriority w:val="39"/>
    <w:unhideWhenUsed/>
    <w:rsid w:val="00936827"/>
    <w:pPr>
      <w:tabs>
        <w:tab w:val="left" w:pos="480"/>
        <w:tab w:val="right" w:leader="dot" w:pos="9016"/>
      </w:tabs>
      <w:spacing w:after="100"/>
    </w:pPr>
    <w:rPr>
      <w:noProof/>
    </w:rPr>
  </w:style>
  <w:style w:type="paragraph" w:styleId="TOC2">
    <w:name w:val="toc 2"/>
    <w:basedOn w:val="Normal"/>
    <w:next w:val="Normal"/>
    <w:autoRedefine/>
    <w:uiPriority w:val="39"/>
    <w:unhideWhenUsed/>
    <w:rsid w:val="007D1D9C"/>
    <w:pPr>
      <w:tabs>
        <w:tab w:val="right" w:leader="dot" w:pos="9016"/>
      </w:tabs>
      <w:spacing w:after="100"/>
      <w:ind w:left="567"/>
    </w:pPr>
    <w:rPr>
      <w:noProof/>
    </w:rPr>
  </w:style>
  <w:style w:type="character" w:styleId="Hyperlink">
    <w:name w:val="Hyperlink"/>
    <w:basedOn w:val="DefaultParagraphFont"/>
    <w:uiPriority w:val="99"/>
    <w:unhideWhenUsed/>
    <w:rsid w:val="00FD5FF1"/>
    <w:rPr>
      <w:color w:val="0563C1" w:themeColor="hyperlink"/>
      <w:u w:val="single"/>
    </w:rPr>
  </w:style>
  <w:style w:type="paragraph" w:styleId="TOC3">
    <w:name w:val="toc 3"/>
    <w:basedOn w:val="Normal"/>
    <w:next w:val="Normal"/>
    <w:autoRedefine/>
    <w:uiPriority w:val="39"/>
    <w:unhideWhenUsed/>
    <w:rsid w:val="00467AEE"/>
    <w:pPr>
      <w:spacing w:after="100"/>
      <w:ind w:left="480"/>
    </w:pPr>
  </w:style>
  <w:style w:type="paragraph" w:customStyle="1" w:styleId="Default">
    <w:name w:val="Default"/>
    <w:rsid w:val="005E67DF"/>
    <w:pPr>
      <w:autoSpaceDE w:val="0"/>
      <w:autoSpaceDN w:val="0"/>
      <w:adjustRightInd w:val="0"/>
      <w:spacing w:after="0" w:line="240" w:lineRule="auto"/>
    </w:pPr>
    <w:rPr>
      <w:rFonts w:ascii="Calibri" w:eastAsiaTheme="minorEastAsia" w:hAnsi="Calibri" w:cs="Calibri"/>
      <w:color w:val="000000"/>
      <w:sz w:val="24"/>
      <w:szCs w:val="24"/>
    </w:rPr>
  </w:style>
  <w:style w:type="character" w:styleId="UnresolvedMention">
    <w:name w:val="Unresolved Mention"/>
    <w:basedOn w:val="DefaultParagraphFont"/>
    <w:uiPriority w:val="99"/>
    <w:semiHidden/>
    <w:unhideWhenUsed/>
    <w:rsid w:val="00887DF1"/>
    <w:rPr>
      <w:color w:val="605E5C"/>
      <w:shd w:val="clear" w:color="auto" w:fill="E1DFDD"/>
    </w:rPr>
  </w:style>
  <w:style w:type="paragraph" w:styleId="NormalWeb">
    <w:name w:val="Normal (Web)"/>
    <w:basedOn w:val="Normal"/>
    <w:uiPriority w:val="99"/>
    <w:semiHidden/>
    <w:unhideWhenUsed/>
    <w:rsid w:val="00487D00"/>
    <w:pPr>
      <w:spacing w:before="100" w:beforeAutospacing="1" w:after="100" w:afterAutospacing="1"/>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39"/>
    <w:rsid w:val="000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B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5956"/>
    <w:rPr>
      <w:color w:val="954F72" w:themeColor="followedHyperlink"/>
      <w:u w:val="single"/>
    </w:rPr>
  </w:style>
  <w:style w:type="paragraph" w:customStyle="1" w:styleId="Centrequote">
    <w:name w:val="Centre quote"/>
    <w:basedOn w:val="Normal"/>
    <w:qFormat/>
    <w:rsid w:val="00D866A2"/>
    <w:pPr>
      <w:autoSpaceDE w:val="0"/>
      <w:autoSpaceDN w:val="0"/>
      <w:adjustRightInd w:val="0"/>
      <w:spacing w:after="40"/>
      <w:ind w:left="567" w:right="567"/>
    </w:pPr>
    <w:rPr>
      <w:i/>
    </w:rPr>
  </w:style>
  <w:style w:type="paragraph" w:customStyle="1" w:styleId="Right">
    <w:name w:val="Right"/>
    <w:basedOn w:val="Centrequote"/>
    <w:qFormat/>
    <w:rsid w:val="00D866A2"/>
    <w:pPr>
      <w:spacing w:after="160"/>
      <w:ind w:left="0"/>
      <w:jc w:val="right"/>
    </w:pPr>
    <w:rPr>
      <w:i w:val="0"/>
    </w:rPr>
  </w:style>
  <w:style w:type="paragraph" w:customStyle="1" w:styleId="Extraspace">
    <w:name w:val="Extra space"/>
    <w:basedOn w:val="Normal"/>
    <w:qFormat/>
    <w:rsid w:val="001B7F2B"/>
    <w:pPr>
      <w:spacing w:before="120"/>
    </w:pPr>
  </w:style>
  <w:style w:type="paragraph" w:customStyle="1" w:styleId="Centrehead">
    <w:name w:val="Centre head"/>
    <w:basedOn w:val="Heading2"/>
    <w:qFormat/>
    <w:rsid w:val="00FF4A7E"/>
    <w:pPr>
      <w:jc w:val="center"/>
    </w:pPr>
  </w:style>
  <w:style w:type="paragraph" w:customStyle="1" w:styleId="Tabletext">
    <w:name w:val="Table text"/>
    <w:basedOn w:val="Normal"/>
    <w:qFormat/>
    <w:rsid w:val="00634F81"/>
    <w:pPr>
      <w:keepLines/>
      <w:spacing w:after="0" w:line="240" w:lineRule="exact"/>
    </w:pPr>
    <w:rPr>
      <w:bCs/>
    </w:rPr>
  </w:style>
  <w:style w:type="paragraph" w:customStyle="1" w:styleId="Fighead">
    <w:name w:val="Fig head"/>
    <w:basedOn w:val="Heading6"/>
    <w:qFormat/>
    <w:rsid w:val="00913F04"/>
    <w:pPr>
      <w:ind w:left="907" w:hanging="907"/>
    </w:pPr>
  </w:style>
  <w:style w:type="paragraph" w:customStyle="1" w:styleId="References">
    <w:name w:val="References"/>
    <w:basedOn w:val="Normal"/>
    <w:qFormat/>
    <w:rsid w:val="00D10BDF"/>
    <w:pPr>
      <w:spacing w:line="240" w:lineRule="exact"/>
    </w:pPr>
    <w:rPr>
      <w:shd w:val="clear" w:color="auto" w:fill="FFFFFF"/>
      <w:lang w:eastAsia="en-GB"/>
    </w:rPr>
  </w:style>
  <w:style w:type="character" w:customStyle="1" w:styleId="legds">
    <w:name w:val="legds"/>
    <w:basedOn w:val="DefaultParagraphFont"/>
    <w:rsid w:val="003D5862"/>
  </w:style>
  <w:style w:type="paragraph" w:styleId="Title">
    <w:name w:val="Title"/>
    <w:basedOn w:val="Normal"/>
    <w:next w:val="Normal"/>
    <w:link w:val="TitleChar"/>
    <w:uiPriority w:val="10"/>
    <w:qFormat/>
    <w:rsid w:val="00090775"/>
    <w:pPr>
      <w:spacing w:line="800" w:lineRule="exact"/>
      <w:contextualSpacing/>
      <w:jc w:val="center"/>
    </w:pPr>
    <w:rPr>
      <w:rFonts w:ascii="FrontPage" w:eastAsiaTheme="majorEastAsia" w:hAnsi="FrontPage" w:cstheme="majorBidi"/>
      <w:b/>
      <w:spacing w:val="-10"/>
      <w:kern w:val="28"/>
      <w:sz w:val="80"/>
      <w:szCs w:val="56"/>
    </w:rPr>
  </w:style>
  <w:style w:type="character" w:customStyle="1" w:styleId="TitleChar">
    <w:name w:val="Title Char"/>
    <w:basedOn w:val="DefaultParagraphFont"/>
    <w:link w:val="Title"/>
    <w:uiPriority w:val="10"/>
    <w:rsid w:val="00090775"/>
    <w:rPr>
      <w:rFonts w:ascii="FrontPage" w:eastAsiaTheme="majorEastAsia" w:hAnsi="FrontPage" w:cstheme="majorBidi"/>
      <w:b/>
      <w:spacing w:val="-10"/>
      <w:kern w:val="28"/>
      <w:sz w:val="80"/>
      <w:szCs w:val="56"/>
    </w:rPr>
  </w:style>
  <w:style w:type="paragraph" w:styleId="Subtitle">
    <w:name w:val="Subtitle"/>
    <w:basedOn w:val="Normal"/>
    <w:next w:val="Normal"/>
    <w:link w:val="SubtitleChar"/>
    <w:uiPriority w:val="11"/>
    <w:qFormat/>
    <w:rsid w:val="00090775"/>
    <w:pPr>
      <w:numPr>
        <w:ilvl w:val="1"/>
      </w:numPr>
      <w:spacing w:after="160" w:line="400" w:lineRule="exact"/>
      <w:jc w:val="center"/>
    </w:pPr>
    <w:rPr>
      <w:rFonts w:ascii="FrontPage" w:eastAsiaTheme="minorEastAsia" w:hAnsi="FrontPage"/>
      <w:color w:val="5A5A5A" w:themeColor="text1" w:themeTint="A5"/>
      <w:spacing w:val="15"/>
      <w:sz w:val="40"/>
    </w:rPr>
  </w:style>
  <w:style w:type="character" w:customStyle="1" w:styleId="SubtitleChar">
    <w:name w:val="Subtitle Char"/>
    <w:basedOn w:val="DefaultParagraphFont"/>
    <w:link w:val="Subtitle"/>
    <w:uiPriority w:val="11"/>
    <w:rsid w:val="00090775"/>
    <w:rPr>
      <w:rFonts w:ascii="FrontPage" w:eastAsiaTheme="minorEastAsia" w:hAnsi="FrontPage"/>
      <w:color w:val="5A5A5A" w:themeColor="text1" w:themeTint="A5"/>
      <w:spacing w:val="1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70977771">
      <w:bodyDiv w:val="1"/>
      <w:marLeft w:val="0"/>
      <w:marRight w:val="0"/>
      <w:marTop w:val="0"/>
      <w:marBottom w:val="0"/>
      <w:divBdr>
        <w:top w:val="none" w:sz="0" w:space="0" w:color="auto"/>
        <w:left w:val="none" w:sz="0" w:space="0" w:color="auto"/>
        <w:bottom w:val="none" w:sz="0" w:space="0" w:color="auto"/>
        <w:right w:val="none" w:sz="0" w:space="0" w:color="auto"/>
      </w:divBdr>
    </w:div>
    <w:div w:id="80151736">
      <w:bodyDiv w:val="1"/>
      <w:marLeft w:val="0"/>
      <w:marRight w:val="0"/>
      <w:marTop w:val="0"/>
      <w:marBottom w:val="0"/>
      <w:divBdr>
        <w:top w:val="none" w:sz="0" w:space="0" w:color="auto"/>
        <w:left w:val="none" w:sz="0" w:space="0" w:color="auto"/>
        <w:bottom w:val="none" w:sz="0" w:space="0" w:color="auto"/>
        <w:right w:val="none" w:sz="0" w:space="0" w:color="auto"/>
      </w:divBdr>
    </w:div>
    <w:div w:id="89010229">
      <w:bodyDiv w:val="1"/>
      <w:marLeft w:val="0"/>
      <w:marRight w:val="0"/>
      <w:marTop w:val="0"/>
      <w:marBottom w:val="0"/>
      <w:divBdr>
        <w:top w:val="none" w:sz="0" w:space="0" w:color="auto"/>
        <w:left w:val="none" w:sz="0" w:space="0" w:color="auto"/>
        <w:bottom w:val="none" w:sz="0" w:space="0" w:color="auto"/>
        <w:right w:val="none" w:sz="0" w:space="0" w:color="auto"/>
      </w:divBdr>
    </w:div>
    <w:div w:id="96297669">
      <w:bodyDiv w:val="1"/>
      <w:marLeft w:val="0"/>
      <w:marRight w:val="0"/>
      <w:marTop w:val="0"/>
      <w:marBottom w:val="0"/>
      <w:divBdr>
        <w:top w:val="none" w:sz="0" w:space="0" w:color="auto"/>
        <w:left w:val="none" w:sz="0" w:space="0" w:color="auto"/>
        <w:bottom w:val="none" w:sz="0" w:space="0" w:color="auto"/>
        <w:right w:val="none" w:sz="0" w:space="0" w:color="auto"/>
      </w:divBdr>
      <w:divsChild>
        <w:div w:id="214895565">
          <w:marLeft w:val="576"/>
          <w:marRight w:val="0"/>
          <w:marTop w:val="80"/>
          <w:marBottom w:val="0"/>
          <w:divBdr>
            <w:top w:val="none" w:sz="0" w:space="0" w:color="auto"/>
            <w:left w:val="none" w:sz="0" w:space="0" w:color="auto"/>
            <w:bottom w:val="none" w:sz="0" w:space="0" w:color="auto"/>
            <w:right w:val="none" w:sz="0" w:space="0" w:color="auto"/>
          </w:divBdr>
        </w:div>
        <w:div w:id="1647933232">
          <w:marLeft w:val="979"/>
          <w:marRight w:val="0"/>
          <w:marTop w:val="65"/>
          <w:marBottom w:val="0"/>
          <w:divBdr>
            <w:top w:val="none" w:sz="0" w:space="0" w:color="auto"/>
            <w:left w:val="none" w:sz="0" w:space="0" w:color="auto"/>
            <w:bottom w:val="none" w:sz="0" w:space="0" w:color="auto"/>
            <w:right w:val="none" w:sz="0" w:space="0" w:color="auto"/>
          </w:divBdr>
        </w:div>
        <w:div w:id="1101334024">
          <w:marLeft w:val="979"/>
          <w:marRight w:val="0"/>
          <w:marTop w:val="65"/>
          <w:marBottom w:val="0"/>
          <w:divBdr>
            <w:top w:val="none" w:sz="0" w:space="0" w:color="auto"/>
            <w:left w:val="none" w:sz="0" w:space="0" w:color="auto"/>
            <w:bottom w:val="none" w:sz="0" w:space="0" w:color="auto"/>
            <w:right w:val="none" w:sz="0" w:space="0" w:color="auto"/>
          </w:divBdr>
        </w:div>
        <w:div w:id="145822464">
          <w:marLeft w:val="979"/>
          <w:marRight w:val="0"/>
          <w:marTop w:val="65"/>
          <w:marBottom w:val="0"/>
          <w:divBdr>
            <w:top w:val="none" w:sz="0" w:space="0" w:color="auto"/>
            <w:left w:val="none" w:sz="0" w:space="0" w:color="auto"/>
            <w:bottom w:val="none" w:sz="0" w:space="0" w:color="auto"/>
            <w:right w:val="none" w:sz="0" w:space="0" w:color="auto"/>
          </w:divBdr>
        </w:div>
        <w:div w:id="1837380701">
          <w:marLeft w:val="576"/>
          <w:marRight w:val="0"/>
          <w:marTop w:val="80"/>
          <w:marBottom w:val="0"/>
          <w:divBdr>
            <w:top w:val="none" w:sz="0" w:space="0" w:color="auto"/>
            <w:left w:val="none" w:sz="0" w:space="0" w:color="auto"/>
            <w:bottom w:val="none" w:sz="0" w:space="0" w:color="auto"/>
            <w:right w:val="none" w:sz="0" w:space="0" w:color="auto"/>
          </w:divBdr>
        </w:div>
        <w:div w:id="439180216">
          <w:marLeft w:val="979"/>
          <w:marRight w:val="0"/>
          <w:marTop w:val="65"/>
          <w:marBottom w:val="0"/>
          <w:divBdr>
            <w:top w:val="none" w:sz="0" w:space="0" w:color="auto"/>
            <w:left w:val="none" w:sz="0" w:space="0" w:color="auto"/>
            <w:bottom w:val="none" w:sz="0" w:space="0" w:color="auto"/>
            <w:right w:val="none" w:sz="0" w:space="0" w:color="auto"/>
          </w:divBdr>
        </w:div>
        <w:div w:id="1086070359">
          <w:marLeft w:val="979"/>
          <w:marRight w:val="0"/>
          <w:marTop w:val="65"/>
          <w:marBottom w:val="0"/>
          <w:divBdr>
            <w:top w:val="none" w:sz="0" w:space="0" w:color="auto"/>
            <w:left w:val="none" w:sz="0" w:space="0" w:color="auto"/>
            <w:bottom w:val="none" w:sz="0" w:space="0" w:color="auto"/>
            <w:right w:val="none" w:sz="0" w:space="0" w:color="auto"/>
          </w:divBdr>
        </w:div>
        <w:div w:id="784542127">
          <w:marLeft w:val="979"/>
          <w:marRight w:val="0"/>
          <w:marTop w:val="65"/>
          <w:marBottom w:val="0"/>
          <w:divBdr>
            <w:top w:val="none" w:sz="0" w:space="0" w:color="auto"/>
            <w:left w:val="none" w:sz="0" w:space="0" w:color="auto"/>
            <w:bottom w:val="none" w:sz="0" w:space="0" w:color="auto"/>
            <w:right w:val="none" w:sz="0" w:space="0" w:color="auto"/>
          </w:divBdr>
        </w:div>
        <w:div w:id="1345790579">
          <w:marLeft w:val="1354"/>
          <w:marRight w:val="0"/>
          <w:marTop w:val="70"/>
          <w:marBottom w:val="0"/>
          <w:divBdr>
            <w:top w:val="none" w:sz="0" w:space="0" w:color="auto"/>
            <w:left w:val="none" w:sz="0" w:space="0" w:color="auto"/>
            <w:bottom w:val="none" w:sz="0" w:space="0" w:color="auto"/>
            <w:right w:val="none" w:sz="0" w:space="0" w:color="auto"/>
          </w:divBdr>
        </w:div>
        <w:div w:id="960259992">
          <w:marLeft w:val="1354"/>
          <w:marRight w:val="0"/>
          <w:marTop w:val="70"/>
          <w:marBottom w:val="0"/>
          <w:divBdr>
            <w:top w:val="none" w:sz="0" w:space="0" w:color="auto"/>
            <w:left w:val="none" w:sz="0" w:space="0" w:color="auto"/>
            <w:bottom w:val="none" w:sz="0" w:space="0" w:color="auto"/>
            <w:right w:val="none" w:sz="0" w:space="0" w:color="auto"/>
          </w:divBdr>
        </w:div>
        <w:div w:id="1765346456">
          <w:marLeft w:val="576"/>
          <w:marRight w:val="0"/>
          <w:marTop w:val="80"/>
          <w:marBottom w:val="0"/>
          <w:divBdr>
            <w:top w:val="none" w:sz="0" w:space="0" w:color="auto"/>
            <w:left w:val="none" w:sz="0" w:space="0" w:color="auto"/>
            <w:bottom w:val="none" w:sz="0" w:space="0" w:color="auto"/>
            <w:right w:val="none" w:sz="0" w:space="0" w:color="auto"/>
          </w:divBdr>
        </w:div>
        <w:div w:id="1482429218">
          <w:marLeft w:val="979"/>
          <w:marRight w:val="0"/>
          <w:marTop w:val="65"/>
          <w:marBottom w:val="0"/>
          <w:divBdr>
            <w:top w:val="none" w:sz="0" w:space="0" w:color="auto"/>
            <w:left w:val="none" w:sz="0" w:space="0" w:color="auto"/>
            <w:bottom w:val="none" w:sz="0" w:space="0" w:color="auto"/>
            <w:right w:val="none" w:sz="0" w:space="0" w:color="auto"/>
          </w:divBdr>
        </w:div>
      </w:divsChild>
    </w:div>
    <w:div w:id="96751854">
      <w:bodyDiv w:val="1"/>
      <w:marLeft w:val="0"/>
      <w:marRight w:val="0"/>
      <w:marTop w:val="0"/>
      <w:marBottom w:val="0"/>
      <w:divBdr>
        <w:top w:val="none" w:sz="0" w:space="0" w:color="auto"/>
        <w:left w:val="none" w:sz="0" w:space="0" w:color="auto"/>
        <w:bottom w:val="none" w:sz="0" w:space="0" w:color="auto"/>
        <w:right w:val="none" w:sz="0" w:space="0" w:color="auto"/>
      </w:divBdr>
    </w:div>
    <w:div w:id="135993505">
      <w:bodyDiv w:val="1"/>
      <w:marLeft w:val="0"/>
      <w:marRight w:val="0"/>
      <w:marTop w:val="0"/>
      <w:marBottom w:val="0"/>
      <w:divBdr>
        <w:top w:val="none" w:sz="0" w:space="0" w:color="auto"/>
        <w:left w:val="none" w:sz="0" w:space="0" w:color="auto"/>
        <w:bottom w:val="none" w:sz="0" w:space="0" w:color="auto"/>
        <w:right w:val="none" w:sz="0" w:space="0" w:color="auto"/>
      </w:divBdr>
    </w:div>
    <w:div w:id="244188180">
      <w:bodyDiv w:val="1"/>
      <w:marLeft w:val="0"/>
      <w:marRight w:val="0"/>
      <w:marTop w:val="0"/>
      <w:marBottom w:val="0"/>
      <w:divBdr>
        <w:top w:val="none" w:sz="0" w:space="0" w:color="auto"/>
        <w:left w:val="none" w:sz="0" w:space="0" w:color="auto"/>
        <w:bottom w:val="none" w:sz="0" w:space="0" w:color="auto"/>
        <w:right w:val="none" w:sz="0" w:space="0" w:color="auto"/>
      </w:divBdr>
    </w:div>
    <w:div w:id="257520615">
      <w:bodyDiv w:val="1"/>
      <w:marLeft w:val="0"/>
      <w:marRight w:val="0"/>
      <w:marTop w:val="0"/>
      <w:marBottom w:val="0"/>
      <w:divBdr>
        <w:top w:val="none" w:sz="0" w:space="0" w:color="auto"/>
        <w:left w:val="none" w:sz="0" w:space="0" w:color="auto"/>
        <w:bottom w:val="none" w:sz="0" w:space="0" w:color="auto"/>
        <w:right w:val="none" w:sz="0" w:space="0" w:color="auto"/>
      </w:divBdr>
    </w:div>
    <w:div w:id="396131225">
      <w:bodyDiv w:val="1"/>
      <w:marLeft w:val="0"/>
      <w:marRight w:val="0"/>
      <w:marTop w:val="0"/>
      <w:marBottom w:val="0"/>
      <w:divBdr>
        <w:top w:val="none" w:sz="0" w:space="0" w:color="auto"/>
        <w:left w:val="none" w:sz="0" w:space="0" w:color="auto"/>
        <w:bottom w:val="none" w:sz="0" w:space="0" w:color="auto"/>
        <w:right w:val="none" w:sz="0" w:space="0" w:color="auto"/>
      </w:divBdr>
    </w:div>
    <w:div w:id="412891941">
      <w:bodyDiv w:val="1"/>
      <w:marLeft w:val="0"/>
      <w:marRight w:val="0"/>
      <w:marTop w:val="0"/>
      <w:marBottom w:val="0"/>
      <w:divBdr>
        <w:top w:val="none" w:sz="0" w:space="0" w:color="auto"/>
        <w:left w:val="none" w:sz="0" w:space="0" w:color="auto"/>
        <w:bottom w:val="none" w:sz="0" w:space="0" w:color="auto"/>
        <w:right w:val="none" w:sz="0" w:space="0" w:color="auto"/>
      </w:divBdr>
    </w:div>
    <w:div w:id="416486196">
      <w:bodyDiv w:val="1"/>
      <w:marLeft w:val="0"/>
      <w:marRight w:val="0"/>
      <w:marTop w:val="0"/>
      <w:marBottom w:val="0"/>
      <w:divBdr>
        <w:top w:val="none" w:sz="0" w:space="0" w:color="auto"/>
        <w:left w:val="none" w:sz="0" w:space="0" w:color="auto"/>
        <w:bottom w:val="none" w:sz="0" w:space="0" w:color="auto"/>
        <w:right w:val="none" w:sz="0" w:space="0" w:color="auto"/>
      </w:divBdr>
    </w:div>
    <w:div w:id="426850060">
      <w:bodyDiv w:val="1"/>
      <w:marLeft w:val="0"/>
      <w:marRight w:val="0"/>
      <w:marTop w:val="0"/>
      <w:marBottom w:val="0"/>
      <w:divBdr>
        <w:top w:val="none" w:sz="0" w:space="0" w:color="auto"/>
        <w:left w:val="none" w:sz="0" w:space="0" w:color="auto"/>
        <w:bottom w:val="none" w:sz="0" w:space="0" w:color="auto"/>
        <w:right w:val="none" w:sz="0" w:space="0" w:color="auto"/>
      </w:divBdr>
    </w:div>
    <w:div w:id="439760701">
      <w:bodyDiv w:val="1"/>
      <w:marLeft w:val="0"/>
      <w:marRight w:val="0"/>
      <w:marTop w:val="0"/>
      <w:marBottom w:val="0"/>
      <w:divBdr>
        <w:top w:val="none" w:sz="0" w:space="0" w:color="auto"/>
        <w:left w:val="none" w:sz="0" w:space="0" w:color="auto"/>
        <w:bottom w:val="none" w:sz="0" w:space="0" w:color="auto"/>
        <w:right w:val="none" w:sz="0" w:space="0" w:color="auto"/>
      </w:divBdr>
    </w:div>
    <w:div w:id="440103079">
      <w:bodyDiv w:val="1"/>
      <w:marLeft w:val="0"/>
      <w:marRight w:val="0"/>
      <w:marTop w:val="0"/>
      <w:marBottom w:val="0"/>
      <w:divBdr>
        <w:top w:val="none" w:sz="0" w:space="0" w:color="auto"/>
        <w:left w:val="none" w:sz="0" w:space="0" w:color="auto"/>
        <w:bottom w:val="none" w:sz="0" w:space="0" w:color="auto"/>
        <w:right w:val="none" w:sz="0" w:space="0" w:color="auto"/>
      </w:divBdr>
    </w:div>
    <w:div w:id="444352096">
      <w:bodyDiv w:val="1"/>
      <w:marLeft w:val="0"/>
      <w:marRight w:val="0"/>
      <w:marTop w:val="0"/>
      <w:marBottom w:val="0"/>
      <w:divBdr>
        <w:top w:val="none" w:sz="0" w:space="0" w:color="auto"/>
        <w:left w:val="none" w:sz="0" w:space="0" w:color="auto"/>
        <w:bottom w:val="none" w:sz="0" w:space="0" w:color="auto"/>
        <w:right w:val="none" w:sz="0" w:space="0" w:color="auto"/>
      </w:divBdr>
      <w:divsChild>
        <w:div w:id="1149593885">
          <w:marLeft w:val="979"/>
          <w:marRight w:val="0"/>
          <w:marTop w:val="65"/>
          <w:marBottom w:val="0"/>
          <w:divBdr>
            <w:top w:val="none" w:sz="0" w:space="0" w:color="auto"/>
            <w:left w:val="none" w:sz="0" w:space="0" w:color="auto"/>
            <w:bottom w:val="none" w:sz="0" w:space="0" w:color="auto"/>
            <w:right w:val="none" w:sz="0" w:space="0" w:color="auto"/>
          </w:divBdr>
        </w:div>
      </w:divsChild>
    </w:div>
    <w:div w:id="504826213">
      <w:bodyDiv w:val="1"/>
      <w:marLeft w:val="0"/>
      <w:marRight w:val="0"/>
      <w:marTop w:val="0"/>
      <w:marBottom w:val="0"/>
      <w:divBdr>
        <w:top w:val="none" w:sz="0" w:space="0" w:color="auto"/>
        <w:left w:val="none" w:sz="0" w:space="0" w:color="auto"/>
        <w:bottom w:val="none" w:sz="0" w:space="0" w:color="auto"/>
        <w:right w:val="none" w:sz="0" w:space="0" w:color="auto"/>
      </w:divBdr>
    </w:div>
    <w:div w:id="550120733">
      <w:bodyDiv w:val="1"/>
      <w:marLeft w:val="0"/>
      <w:marRight w:val="0"/>
      <w:marTop w:val="0"/>
      <w:marBottom w:val="0"/>
      <w:divBdr>
        <w:top w:val="none" w:sz="0" w:space="0" w:color="auto"/>
        <w:left w:val="none" w:sz="0" w:space="0" w:color="auto"/>
        <w:bottom w:val="none" w:sz="0" w:space="0" w:color="auto"/>
        <w:right w:val="none" w:sz="0" w:space="0" w:color="auto"/>
      </w:divBdr>
    </w:div>
    <w:div w:id="564487212">
      <w:bodyDiv w:val="1"/>
      <w:marLeft w:val="0"/>
      <w:marRight w:val="0"/>
      <w:marTop w:val="0"/>
      <w:marBottom w:val="0"/>
      <w:divBdr>
        <w:top w:val="none" w:sz="0" w:space="0" w:color="auto"/>
        <w:left w:val="none" w:sz="0" w:space="0" w:color="auto"/>
        <w:bottom w:val="none" w:sz="0" w:space="0" w:color="auto"/>
        <w:right w:val="none" w:sz="0" w:space="0" w:color="auto"/>
      </w:divBdr>
    </w:div>
    <w:div w:id="619141726">
      <w:bodyDiv w:val="1"/>
      <w:marLeft w:val="0"/>
      <w:marRight w:val="0"/>
      <w:marTop w:val="0"/>
      <w:marBottom w:val="0"/>
      <w:divBdr>
        <w:top w:val="none" w:sz="0" w:space="0" w:color="auto"/>
        <w:left w:val="none" w:sz="0" w:space="0" w:color="auto"/>
        <w:bottom w:val="none" w:sz="0" w:space="0" w:color="auto"/>
        <w:right w:val="none" w:sz="0" w:space="0" w:color="auto"/>
      </w:divBdr>
    </w:div>
    <w:div w:id="635068154">
      <w:bodyDiv w:val="1"/>
      <w:marLeft w:val="0"/>
      <w:marRight w:val="0"/>
      <w:marTop w:val="0"/>
      <w:marBottom w:val="0"/>
      <w:divBdr>
        <w:top w:val="none" w:sz="0" w:space="0" w:color="auto"/>
        <w:left w:val="none" w:sz="0" w:space="0" w:color="auto"/>
        <w:bottom w:val="none" w:sz="0" w:space="0" w:color="auto"/>
        <w:right w:val="none" w:sz="0" w:space="0" w:color="auto"/>
      </w:divBdr>
    </w:div>
    <w:div w:id="647590191">
      <w:bodyDiv w:val="1"/>
      <w:marLeft w:val="0"/>
      <w:marRight w:val="0"/>
      <w:marTop w:val="0"/>
      <w:marBottom w:val="0"/>
      <w:divBdr>
        <w:top w:val="none" w:sz="0" w:space="0" w:color="auto"/>
        <w:left w:val="none" w:sz="0" w:space="0" w:color="auto"/>
        <w:bottom w:val="none" w:sz="0" w:space="0" w:color="auto"/>
        <w:right w:val="none" w:sz="0" w:space="0" w:color="auto"/>
      </w:divBdr>
    </w:div>
    <w:div w:id="727385128">
      <w:bodyDiv w:val="1"/>
      <w:marLeft w:val="0"/>
      <w:marRight w:val="0"/>
      <w:marTop w:val="0"/>
      <w:marBottom w:val="0"/>
      <w:divBdr>
        <w:top w:val="none" w:sz="0" w:space="0" w:color="auto"/>
        <w:left w:val="none" w:sz="0" w:space="0" w:color="auto"/>
        <w:bottom w:val="none" w:sz="0" w:space="0" w:color="auto"/>
        <w:right w:val="none" w:sz="0" w:space="0" w:color="auto"/>
      </w:divBdr>
    </w:div>
    <w:div w:id="784466706">
      <w:bodyDiv w:val="1"/>
      <w:marLeft w:val="0"/>
      <w:marRight w:val="0"/>
      <w:marTop w:val="0"/>
      <w:marBottom w:val="0"/>
      <w:divBdr>
        <w:top w:val="none" w:sz="0" w:space="0" w:color="auto"/>
        <w:left w:val="none" w:sz="0" w:space="0" w:color="auto"/>
        <w:bottom w:val="none" w:sz="0" w:space="0" w:color="auto"/>
        <w:right w:val="none" w:sz="0" w:space="0" w:color="auto"/>
      </w:divBdr>
    </w:div>
    <w:div w:id="857624147">
      <w:bodyDiv w:val="1"/>
      <w:marLeft w:val="0"/>
      <w:marRight w:val="0"/>
      <w:marTop w:val="0"/>
      <w:marBottom w:val="0"/>
      <w:divBdr>
        <w:top w:val="none" w:sz="0" w:space="0" w:color="auto"/>
        <w:left w:val="none" w:sz="0" w:space="0" w:color="auto"/>
        <w:bottom w:val="none" w:sz="0" w:space="0" w:color="auto"/>
        <w:right w:val="none" w:sz="0" w:space="0" w:color="auto"/>
      </w:divBdr>
    </w:div>
    <w:div w:id="869882437">
      <w:bodyDiv w:val="1"/>
      <w:marLeft w:val="0"/>
      <w:marRight w:val="0"/>
      <w:marTop w:val="0"/>
      <w:marBottom w:val="0"/>
      <w:divBdr>
        <w:top w:val="none" w:sz="0" w:space="0" w:color="auto"/>
        <w:left w:val="none" w:sz="0" w:space="0" w:color="auto"/>
        <w:bottom w:val="none" w:sz="0" w:space="0" w:color="auto"/>
        <w:right w:val="none" w:sz="0" w:space="0" w:color="auto"/>
      </w:divBdr>
    </w:div>
    <w:div w:id="903487430">
      <w:bodyDiv w:val="1"/>
      <w:marLeft w:val="0"/>
      <w:marRight w:val="0"/>
      <w:marTop w:val="0"/>
      <w:marBottom w:val="0"/>
      <w:divBdr>
        <w:top w:val="none" w:sz="0" w:space="0" w:color="auto"/>
        <w:left w:val="none" w:sz="0" w:space="0" w:color="auto"/>
        <w:bottom w:val="none" w:sz="0" w:space="0" w:color="auto"/>
        <w:right w:val="none" w:sz="0" w:space="0" w:color="auto"/>
      </w:divBdr>
    </w:div>
    <w:div w:id="912353902">
      <w:bodyDiv w:val="1"/>
      <w:marLeft w:val="0"/>
      <w:marRight w:val="0"/>
      <w:marTop w:val="0"/>
      <w:marBottom w:val="0"/>
      <w:divBdr>
        <w:top w:val="none" w:sz="0" w:space="0" w:color="auto"/>
        <w:left w:val="none" w:sz="0" w:space="0" w:color="auto"/>
        <w:bottom w:val="none" w:sz="0" w:space="0" w:color="auto"/>
        <w:right w:val="none" w:sz="0" w:space="0" w:color="auto"/>
      </w:divBdr>
    </w:div>
    <w:div w:id="1027871463">
      <w:bodyDiv w:val="1"/>
      <w:marLeft w:val="0"/>
      <w:marRight w:val="0"/>
      <w:marTop w:val="0"/>
      <w:marBottom w:val="0"/>
      <w:divBdr>
        <w:top w:val="none" w:sz="0" w:space="0" w:color="auto"/>
        <w:left w:val="none" w:sz="0" w:space="0" w:color="auto"/>
        <w:bottom w:val="none" w:sz="0" w:space="0" w:color="auto"/>
        <w:right w:val="none" w:sz="0" w:space="0" w:color="auto"/>
      </w:divBdr>
    </w:div>
    <w:div w:id="1060520805">
      <w:bodyDiv w:val="1"/>
      <w:marLeft w:val="0"/>
      <w:marRight w:val="0"/>
      <w:marTop w:val="0"/>
      <w:marBottom w:val="0"/>
      <w:divBdr>
        <w:top w:val="none" w:sz="0" w:space="0" w:color="auto"/>
        <w:left w:val="none" w:sz="0" w:space="0" w:color="auto"/>
        <w:bottom w:val="none" w:sz="0" w:space="0" w:color="auto"/>
        <w:right w:val="none" w:sz="0" w:space="0" w:color="auto"/>
      </w:divBdr>
    </w:div>
    <w:div w:id="1064452531">
      <w:bodyDiv w:val="1"/>
      <w:marLeft w:val="0"/>
      <w:marRight w:val="0"/>
      <w:marTop w:val="0"/>
      <w:marBottom w:val="0"/>
      <w:divBdr>
        <w:top w:val="none" w:sz="0" w:space="0" w:color="auto"/>
        <w:left w:val="none" w:sz="0" w:space="0" w:color="auto"/>
        <w:bottom w:val="none" w:sz="0" w:space="0" w:color="auto"/>
        <w:right w:val="none" w:sz="0" w:space="0" w:color="auto"/>
      </w:divBdr>
    </w:div>
    <w:div w:id="1075005862">
      <w:bodyDiv w:val="1"/>
      <w:marLeft w:val="0"/>
      <w:marRight w:val="0"/>
      <w:marTop w:val="0"/>
      <w:marBottom w:val="0"/>
      <w:divBdr>
        <w:top w:val="none" w:sz="0" w:space="0" w:color="auto"/>
        <w:left w:val="none" w:sz="0" w:space="0" w:color="auto"/>
        <w:bottom w:val="none" w:sz="0" w:space="0" w:color="auto"/>
        <w:right w:val="none" w:sz="0" w:space="0" w:color="auto"/>
      </w:divBdr>
    </w:div>
    <w:div w:id="1088884498">
      <w:bodyDiv w:val="1"/>
      <w:marLeft w:val="0"/>
      <w:marRight w:val="0"/>
      <w:marTop w:val="0"/>
      <w:marBottom w:val="0"/>
      <w:divBdr>
        <w:top w:val="none" w:sz="0" w:space="0" w:color="auto"/>
        <w:left w:val="none" w:sz="0" w:space="0" w:color="auto"/>
        <w:bottom w:val="none" w:sz="0" w:space="0" w:color="auto"/>
        <w:right w:val="none" w:sz="0" w:space="0" w:color="auto"/>
      </w:divBdr>
    </w:div>
    <w:div w:id="1129981415">
      <w:bodyDiv w:val="1"/>
      <w:marLeft w:val="0"/>
      <w:marRight w:val="0"/>
      <w:marTop w:val="0"/>
      <w:marBottom w:val="0"/>
      <w:divBdr>
        <w:top w:val="none" w:sz="0" w:space="0" w:color="auto"/>
        <w:left w:val="none" w:sz="0" w:space="0" w:color="auto"/>
        <w:bottom w:val="none" w:sz="0" w:space="0" w:color="auto"/>
        <w:right w:val="none" w:sz="0" w:space="0" w:color="auto"/>
      </w:divBdr>
    </w:div>
    <w:div w:id="1130972390">
      <w:bodyDiv w:val="1"/>
      <w:marLeft w:val="0"/>
      <w:marRight w:val="0"/>
      <w:marTop w:val="0"/>
      <w:marBottom w:val="0"/>
      <w:divBdr>
        <w:top w:val="none" w:sz="0" w:space="0" w:color="auto"/>
        <w:left w:val="none" w:sz="0" w:space="0" w:color="auto"/>
        <w:bottom w:val="none" w:sz="0" w:space="0" w:color="auto"/>
        <w:right w:val="none" w:sz="0" w:space="0" w:color="auto"/>
      </w:divBdr>
    </w:div>
    <w:div w:id="1133602585">
      <w:bodyDiv w:val="1"/>
      <w:marLeft w:val="0"/>
      <w:marRight w:val="0"/>
      <w:marTop w:val="0"/>
      <w:marBottom w:val="0"/>
      <w:divBdr>
        <w:top w:val="none" w:sz="0" w:space="0" w:color="auto"/>
        <w:left w:val="none" w:sz="0" w:space="0" w:color="auto"/>
        <w:bottom w:val="none" w:sz="0" w:space="0" w:color="auto"/>
        <w:right w:val="none" w:sz="0" w:space="0" w:color="auto"/>
      </w:divBdr>
    </w:div>
    <w:div w:id="1138960689">
      <w:bodyDiv w:val="1"/>
      <w:marLeft w:val="0"/>
      <w:marRight w:val="0"/>
      <w:marTop w:val="0"/>
      <w:marBottom w:val="0"/>
      <w:divBdr>
        <w:top w:val="none" w:sz="0" w:space="0" w:color="auto"/>
        <w:left w:val="none" w:sz="0" w:space="0" w:color="auto"/>
        <w:bottom w:val="none" w:sz="0" w:space="0" w:color="auto"/>
        <w:right w:val="none" w:sz="0" w:space="0" w:color="auto"/>
      </w:divBdr>
    </w:div>
    <w:div w:id="1149177001">
      <w:bodyDiv w:val="1"/>
      <w:marLeft w:val="0"/>
      <w:marRight w:val="0"/>
      <w:marTop w:val="0"/>
      <w:marBottom w:val="0"/>
      <w:divBdr>
        <w:top w:val="none" w:sz="0" w:space="0" w:color="auto"/>
        <w:left w:val="none" w:sz="0" w:space="0" w:color="auto"/>
        <w:bottom w:val="none" w:sz="0" w:space="0" w:color="auto"/>
        <w:right w:val="none" w:sz="0" w:space="0" w:color="auto"/>
      </w:divBdr>
    </w:div>
    <w:div w:id="1174686173">
      <w:bodyDiv w:val="1"/>
      <w:marLeft w:val="0"/>
      <w:marRight w:val="0"/>
      <w:marTop w:val="0"/>
      <w:marBottom w:val="0"/>
      <w:divBdr>
        <w:top w:val="none" w:sz="0" w:space="0" w:color="auto"/>
        <w:left w:val="none" w:sz="0" w:space="0" w:color="auto"/>
        <w:bottom w:val="none" w:sz="0" w:space="0" w:color="auto"/>
        <w:right w:val="none" w:sz="0" w:space="0" w:color="auto"/>
      </w:divBdr>
    </w:div>
    <w:div w:id="1216970545">
      <w:bodyDiv w:val="1"/>
      <w:marLeft w:val="0"/>
      <w:marRight w:val="0"/>
      <w:marTop w:val="0"/>
      <w:marBottom w:val="0"/>
      <w:divBdr>
        <w:top w:val="none" w:sz="0" w:space="0" w:color="auto"/>
        <w:left w:val="none" w:sz="0" w:space="0" w:color="auto"/>
        <w:bottom w:val="none" w:sz="0" w:space="0" w:color="auto"/>
        <w:right w:val="none" w:sz="0" w:space="0" w:color="auto"/>
      </w:divBdr>
    </w:div>
    <w:div w:id="1235697470">
      <w:bodyDiv w:val="1"/>
      <w:marLeft w:val="0"/>
      <w:marRight w:val="0"/>
      <w:marTop w:val="0"/>
      <w:marBottom w:val="0"/>
      <w:divBdr>
        <w:top w:val="none" w:sz="0" w:space="0" w:color="auto"/>
        <w:left w:val="none" w:sz="0" w:space="0" w:color="auto"/>
        <w:bottom w:val="none" w:sz="0" w:space="0" w:color="auto"/>
        <w:right w:val="none" w:sz="0" w:space="0" w:color="auto"/>
      </w:divBdr>
    </w:div>
    <w:div w:id="1294139434">
      <w:bodyDiv w:val="1"/>
      <w:marLeft w:val="0"/>
      <w:marRight w:val="0"/>
      <w:marTop w:val="0"/>
      <w:marBottom w:val="0"/>
      <w:divBdr>
        <w:top w:val="none" w:sz="0" w:space="0" w:color="auto"/>
        <w:left w:val="none" w:sz="0" w:space="0" w:color="auto"/>
        <w:bottom w:val="none" w:sz="0" w:space="0" w:color="auto"/>
        <w:right w:val="none" w:sz="0" w:space="0" w:color="auto"/>
      </w:divBdr>
    </w:div>
    <w:div w:id="1297177510">
      <w:bodyDiv w:val="1"/>
      <w:marLeft w:val="0"/>
      <w:marRight w:val="0"/>
      <w:marTop w:val="0"/>
      <w:marBottom w:val="0"/>
      <w:divBdr>
        <w:top w:val="none" w:sz="0" w:space="0" w:color="auto"/>
        <w:left w:val="none" w:sz="0" w:space="0" w:color="auto"/>
        <w:bottom w:val="none" w:sz="0" w:space="0" w:color="auto"/>
        <w:right w:val="none" w:sz="0" w:space="0" w:color="auto"/>
      </w:divBdr>
    </w:div>
    <w:div w:id="1302880681">
      <w:bodyDiv w:val="1"/>
      <w:marLeft w:val="0"/>
      <w:marRight w:val="0"/>
      <w:marTop w:val="0"/>
      <w:marBottom w:val="0"/>
      <w:divBdr>
        <w:top w:val="none" w:sz="0" w:space="0" w:color="auto"/>
        <w:left w:val="none" w:sz="0" w:space="0" w:color="auto"/>
        <w:bottom w:val="none" w:sz="0" w:space="0" w:color="auto"/>
        <w:right w:val="none" w:sz="0" w:space="0" w:color="auto"/>
      </w:divBdr>
      <w:divsChild>
        <w:div w:id="762914636">
          <w:marLeft w:val="547"/>
          <w:marRight w:val="0"/>
          <w:marTop w:val="0"/>
          <w:marBottom w:val="120"/>
          <w:divBdr>
            <w:top w:val="none" w:sz="0" w:space="0" w:color="auto"/>
            <w:left w:val="none" w:sz="0" w:space="0" w:color="auto"/>
            <w:bottom w:val="none" w:sz="0" w:space="0" w:color="auto"/>
            <w:right w:val="none" w:sz="0" w:space="0" w:color="auto"/>
          </w:divBdr>
        </w:div>
        <w:div w:id="1493794393">
          <w:marLeft w:val="547"/>
          <w:marRight w:val="0"/>
          <w:marTop w:val="0"/>
          <w:marBottom w:val="120"/>
          <w:divBdr>
            <w:top w:val="none" w:sz="0" w:space="0" w:color="auto"/>
            <w:left w:val="none" w:sz="0" w:space="0" w:color="auto"/>
            <w:bottom w:val="none" w:sz="0" w:space="0" w:color="auto"/>
            <w:right w:val="none" w:sz="0" w:space="0" w:color="auto"/>
          </w:divBdr>
        </w:div>
      </w:divsChild>
    </w:div>
    <w:div w:id="1341741049">
      <w:bodyDiv w:val="1"/>
      <w:marLeft w:val="0"/>
      <w:marRight w:val="0"/>
      <w:marTop w:val="0"/>
      <w:marBottom w:val="0"/>
      <w:divBdr>
        <w:top w:val="none" w:sz="0" w:space="0" w:color="auto"/>
        <w:left w:val="none" w:sz="0" w:space="0" w:color="auto"/>
        <w:bottom w:val="none" w:sz="0" w:space="0" w:color="auto"/>
        <w:right w:val="none" w:sz="0" w:space="0" w:color="auto"/>
      </w:divBdr>
    </w:div>
    <w:div w:id="1381974292">
      <w:bodyDiv w:val="1"/>
      <w:marLeft w:val="0"/>
      <w:marRight w:val="0"/>
      <w:marTop w:val="0"/>
      <w:marBottom w:val="0"/>
      <w:divBdr>
        <w:top w:val="none" w:sz="0" w:space="0" w:color="auto"/>
        <w:left w:val="none" w:sz="0" w:space="0" w:color="auto"/>
        <w:bottom w:val="none" w:sz="0" w:space="0" w:color="auto"/>
        <w:right w:val="none" w:sz="0" w:space="0" w:color="auto"/>
      </w:divBdr>
    </w:div>
    <w:div w:id="1412852315">
      <w:bodyDiv w:val="1"/>
      <w:marLeft w:val="0"/>
      <w:marRight w:val="0"/>
      <w:marTop w:val="0"/>
      <w:marBottom w:val="0"/>
      <w:divBdr>
        <w:top w:val="none" w:sz="0" w:space="0" w:color="auto"/>
        <w:left w:val="none" w:sz="0" w:space="0" w:color="auto"/>
        <w:bottom w:val="none" w:sz="0" w:space="0" w:color="auto"/>
        <w:right w:val="none" w:sz="0" w:space="0" w:color="auto"/>
      </w:divBdr>
    </w:div>
    <w:div w:id="1413963232">
      <w:bodyDiv w:val="1"/>
      <w:marLeft w:val="0"/>
      <w:marRight w:val="0"/>
      <w:marTop w:val="0"/>
      <w:marBottom w:val="0"/>
      <w:divBdr>
        <w:top w:val="none" w:sz="0" w:space="0" w:color="auto"/>
        <w:left w:val="none" w:sz="0" w:space="0" w:color="auto"/>
        <w:bottom w:val="none" w:sz="0" w:space="0" w:color="auto"/>
        <w:right w:val="none" w:sz="0" w:space="0" w:color="auto"/>
      </w:divBdr>
    </w:div>
    <w:div w:id="1420254847">
      <w:bodyDiv w:val="1"/>
      <w:marLeft w:val="0"/>
      <w:marRight w:val="0"/>
      <w:marTop w:val="0"/>
      <w:marBottom w:val="0"/>
      <w:divBdr>
        <w:top w:val="none" w:sz="0" w:space="0" w:color="auto"/>
        <w:left w:val="none" w:sz="0" w:space="0" w:color="auto"/>
        <w:bottom w:val="none" w:sz="0" w:space="0" w:color="auto"/>
        <w:right w:val="none" w:sz="0" w:space="0" w:color="auto"/>
      </w:divBdr>
    </w:div>
    <w:div w:id="1435829306">
      <w:bodyDiv w:val="1"/>
      <w:marLeft w:val="0"/>
      <w:marRight w:val="0"/>
      <w:marTop w:val="0"/>
      <w:marBottom w:val="0"/>
      <w:divBdr>
        <w:top w:val="none" w:sz="0" w:space="0" w:color="auto"/>
        <w:left w:val="none" w:sz="0" w:space="0" w:color="auto"/>
        <w:bottom w:val="none" w:sz="0" w:space="0" w:color="auto"/>
        <w:right w:val="none" w:sz="0" w:space="0" w:color="auto"/>
      </w:divBdr>
    </w:div>
    <w:div w:id="1464929073">
      <w:bodyDiv w:val="1"/>
      <w:marLeft w:val="0"/>
      <w:marRight w:val="0"/>
      <w:marTop w:val="0"/>
      <w:marBottom w:val="0"/>
      <w:divBdr>
        <w:top w:val="none" w:sz="0" w:space="0" w:color="auto"/>
        <w:left w:val="none" w:sz="0" w:space="0" w:color="auto"/>
        <w:bottom w:val="none" w:sz="0" w:space="0" w:color="auto"/>
        <w:right w:val="none" w:sz="0" w:space="0" w:color="auto"/>
      </w:divBdr>
    </w:div>
    <w:div w:id="1494830004">
      <w:bodyDiv w:val="1"/>
      <w:marLeft w:val="0"/>
      <w:marRight w:val="0"/>
      <w:marTop w:val="0"/>
      <w:marBottom w:val="0"/>
      <w:divBdr>
        <w:top w:val="none" w:sz="0" w:space="0" w:color="auto"/>
        <w:left w:val="none" w:sz="0" w:space="0" w:color="auto"/>
        <w:bottom w:val="none" w:sz="0" w:space="0" w:color="auto"/>
        <w:right w:val="none" w:sz="0" w:space="0" w:color="auto"/>
      </w:divBdr>
    </w:div>
    <w:div w:id="1517191085">
      <w:bodyDiv w:val="1"/>
      <w:marLeft w:val="0"/>
      <w:marRight w:val="0"/>
      <w:marTop w:val="0"/>
      <w:marBottom w:val="0"/>
      <w:divBdr>
        <w:top w:val="none" w:sz="0" w:space="0" w:color="auto"/>
        <w:left w:val="none" w:sz="0" w:space="0" w:color="auto"/>
        <w:bottom w:val="none" w:sz="0" w:space="0" w:color="auto"/>
        <w:right w:val="none" w:sz="0" w:space="0" w:color="auto"/>
      </w:divBdr>
    </w:div>
    <w:div w:id="1546598269">
      <w:bodyDiv w:val="1"/>
      <w:marLeft w:val="0"/>
      <w:marRight w:val="0"/>
      <w:marTop w:val="0"/>
      <w:marBottom w:val="0"/>
      <w:divBdr>
        <w:top w:val="none" w:sz="0" w:space="0" w:color="auto"/>
        <w:left w:val="none" w:sz="0" w:space="0" w:color="auto"/>
        <w:bottom w:val="none" w:sz="0" w:space="0" w:color="auto"/>
        <w:right w:val="none" w:sz="0" w:space="0" w:color="auto"/>
      </w:divBdr>
    </w:div>
    <w:div w:id="1549801584">
      <w:bodyDiv w:val="1"/>
      <w:marLeft w:val="0"/>
      <w:marRight w:val="0"/>
      <w:marTop w:val="0"/>
      <w:marBottom w:val="0"/>
      <w:divBdr>
        <w:top w:val="none" w:sz="0" w:space="0" w:color="auto"/>
        <w:left w:val="none" w:sz="0" w:space="0" w:color="auto"/>
        <w:bottom w:val="none" w:sz="0" w:space="0" w:color="auto"/>
        <w:right w:val="none" w:sz="0" w:space="0" w:color="auto"/>
      </w:divBdr>
    </w:div>
    <w:div w:id="1733236596">
      <w:bodyDiv w:val="1"/>
      <w:marLeft w:val="0"/>
      <w:marRight w:val="0"/>
      <w:marTop w:val="0"/>
      <w:marBottom w:val="0"/>
      <w:divBdr>
        <w:top w:val="none" w:sz="0" w:space="0" w:color="auto"/>
        <w:left w:val="none" w:sz="0" w:space="0" w:color="auto"/>
        <w:bottom w:val="none" w:sz="0" w:space="0" w:color="auto"/>
        <w:right w:val="none" w:sz="0" w:space="0" w:color="auto"/>
      </w:divBdr>
    </w:div>
    <w:div w:id="1790276489">
      <w:bodyDiv w:val="1"/>
      <w:marLeft w:val="0"/>
      <w:marRight w:val="0"/>
      <w:marTop w:val="0"/>
      <w:marBottom w:val="0"/>
      <w:divBdr>
        <w:top w:val="none" w:sz="0" w:space="0" w:color="auto"/>
        <w:left w:val="none" w:sz="0" w:space="0" w:color="auto"/>
        <w:bottom w:val="none" w:sz="0" w:space="0" w:color="auto"/>
        <w:right w:val="none" w:sz="0" w:space="0" w:color="auto"/>
      </w:divBdr>
    </w:div>
    <w:div w:id="1886604292">
      <w:bodyDiv w:val="1"/>
      <w:marLeft w:val="0"/>
      <w:marRight w:val="0"/>
      <w:marTop w:val="0"/>
      <w:marBottom w:val="0"/>
      <w:divBdr>
        <w:top w:val="none" w:sz="0" w:space="0" w:color="auto"/>
        <w:left w:val="none" w:sz="0" w:space="0" w:color="auto"/>
        <w:bottom w:val="none" w:sz="0" w:space="0" w:color="auto"/>
        <w:right w:val="none" w:sz="0" w:space="0" w:color="auto"/>
      </w:divBdr>
    </w:div>
    <w:div w:id="1895122829">
      <w:bodyDiv w:val="1"/>
      <w:marLeft w:val="0"/>
      <w:marRight w:val="0"/>
      <w:marTop w:val="0"/>
      <w:marBottom w:val="0"/>
      <w:divBdr>
        <w:top w:val="none" w:sz="0" w:space="0" w:color="auto"/>
        <w:left w:val="none" w:sz="0" w:space="0" w:color="auto"/>
        <w:bottom w:val="none" w:sz="0" w:space="0" w:color="auto"/>
        <w:right w:val="none" w:sz="0" w:space="0" w:color="auto"/>
      </w:divBdr>
      <w:divsChild>
        <w:div w:id="1079209796">
          <w:marLeft w:val="0"/>
          <w:marRight w:val="0"/>
          <w:marTop w:val="0"/>
          <w:marBottom w:val="0"/>
          <w:divBdr>
            <w:top w:val="none" w:sz="0" w:space="0" w:color="auto"/>
            <w:left w:val="none" w:sz="0" w:space="0" w:color="auto"/>
            <w:bottom w:val="none" w:sz="0" w:space="0" w:color="auto"/>
            <w:right w:val="none" w:sz="0" w:space="0" w:color="auto"/>
          </w:divBdr>
        </w:div>
        <w:div w:id="532767453">
          <w:marLeft w:val="0"/>
          <w:marRight w:val="0"/>
          <w:marTop w:val="0"/>
          <w:marBottom w:val="0"/>
          <w:divBdr>
            <w:top w:val="none" w:sz="0" w:space="0" w:color="auto"/>
            <w:left w:val="none" w:sz="0" w:space="0" w:color="auto"/>
            <w:bottom w:val="none" w:sz="0" w:space="0" w:color="auto"/>
            <w:right w:val="none" w:sz="0" w:space="0" w:color="auto"/>
          </w:divBdr>
        </w:div>
      </w:divsChild>
    </w:div>
    <w:div w:id="1912040978">
      <w:bodyDiv w:val="1"/>
      <w:marLeft w:val="0"/>
      <w:marRight w:val="0"/>
      <w:marTop w:val="0"/>
      <w:marBottom w:val="0"/>
      <w:divBdr>
        <w:top w:val="none" w:sz="0" w:space="0" w:color="auto"/>
        <w:left w:val="none" w:sz="0" w:space="0" w:color="auto"/>
        <w:bottom w:val="none" w:sz="0" w:space="0" w:color="auto"/>
        <w:right w:val="none" w:sz="0" w:space="0" w:color="auto"/>
      </w:divBdr>
    </w:div>
    <w:div w:id="1914851955">
      <w:bodyDiv w:val="1"/>
      <w:marLeft w:val="0"/>
      <w:marRight w:val="0"/>
      <w:marTop w:val="0"/>
      <w:marBottom w:val="0"/>
      <w:divBdr>
        <w:top w:val="none" w:sz="0" w:space="0" w:color="auto"/>
        <w:left w:val="none" w:sz="0" w:space="0" w:color="auto"/>
        <w:bottom w:val="none" w:sz="0" w:space="0" w:color="auto"/>
        <w:right w:val="none" w:sz="0" w:space="0" w:color="auto"/>
      </w:divBdr>
    </w:div>
    <w:div w:id="1936937238">
      <w:bodyDiv w:val="1"/>
      <w:marLeft w:val="0"/>
      <w:marRight w:val="0"/>
      <w:marTop w:val="0"/>
      <w:marBottom w:val="0"/>
      <w:divBdr>
        <w:top w:val="none" w:sz="0" w:space="0" w:color="auto"/>
        <w:left w:val="none" w:sz="0" w:space="0" w:color="auto"/>
        <w:bottom w:val="none" w:sz="0" w:space="0" w:color="auto"/>
        <w:right w:val="none" w:sz="0" w:space="0" w:color="auto"/>
      </w:divBdr>
    </w:div>
    <w:div w:id="1952859817">
      <w:bodyDiv w:val="1"/>
      <w:marLeft w:val="0"/>
      <w:marRight w:val="0"/>
      <w:marTop w:val="0"/>
      <w:marBottom w:val="0"/>
      <w:divBdr>
        <w:top w:val="none" w:sz="0" w:space="0" w:color="auto"/>
        <w:left w:val="none" w:sz="0" w:space="0" w:color="auto"/>
        <w:bottom w:val="none" w:sz="0" w:space="0" w:color="auto"/>
        <w:right w:val="none" w:sz="0" w:space="0" w:color="auto"/>
      </w:divBdr>
    </w:div>
    <w:div w:id="1969237837">
      <w:bodyDiv w:val="1"/>
      <w:marLeft w:val="0"/>
      <w:marRight w:val="0"/>
      <w:marTop w:val="0"/>
      <w:marBottom w:val="0"/>
      <w:divBdr>
        <w:top w:val="none" w:sz="0" w:space="0" w:color="auto"/>
        <w:left w:val="none" w:sz="0" w:space="0" w:color="auto"/>
        <w:bottom w:val="none" w:sz="0" w:space="0" w:color="auto"/>
        <w:right w:val="none" w:sz="0" w:space="0" w:color="auto"/>
      </w:divBdr>
    </w:div>
    <w:div w:id="2002348161">
      <w:bodyDiv w:val="1"/>
      <w:marLeft w:val="0"/>
      <w:marRight w:val="0"/>
      <w:marTop w:val="0"/>
      <w:marBottom w:val="0"/>
      <w:divBdr>
        <w:top w:val="none" w:sz="0" w:space="0" w:color="auto"/>
        <w:left w:val="none" w:sz="0" w:space="0" w:color="auto"/>
        <w:bottom w:val="none" w:sz="0" w:space="0" w:color="auto"/>
        <w:right w:val="none" w:sz="0" w:space="0" w:color="auto"/>
      </w:divBdr>
    </w:div>
    <w:div w:id="2004963623">
      <w:bodyDiv w:val="1"/>
      <w:marLeft w:val="0"/>
      <w:marRight w:val="0"/>
      <w:marTop w:val="0"/>
      <w:marBottom w:val="0"/>
      <w:divBdr>
        <w:top w:val="none" w:sz="0" w:space="0" w:color="auto"/>
        <w:left w:val="none" w:sz="0" w:space="0" w:color="auto"/>
        <w:bottom w:val="none" w:sz="0" w:space="0" w:color="auto"/>
        <w:right w:val="none" w:sz="0" w:space="0" w:color="auto"/>
      </w:divBdr>
    </w:div>
    <w:div w:id="2057310935">
      <w:bodyDiv w:val="1"/>
      <w:marLeft w:val="0"/>
      <w:marRight w:val="0"/>
      <w:marTop w:val="0"/>
      <w:marBottom w:val="0"/>
      <w:divBdr>
        <w:top w:val="none" w:sz="0" w:space="0" w:color="auto"/>
        <w:left w:val="none" w:sz="0" w:space="0" w:color="auto"/>
        <w:bottom w:val="none" w:sz="0" w:space="0" w:color="auto"/>
        <w:right w:val="none" w:sz="0" w:space="0" w:color="auto"/>
      </w:divBdr>
    </w:div>
    <w:div w:id="2058622533">
      <w:bodyDiv w:val="1"/>
      <w:marLeft w:val="0"/>
      <w:marRight w:val="0"/>
      <w:marTop w:val="0"/>
      <w:marBottom w:val="0"/>
      <w:divBdr>
        <w:top w:val="none" w:sz="0" w:space="0" w:color="auto"/>
        <w:left w:val="none" w:sz="0" w:space="0" w:color="auto"/>
        <w:bottom w:val="none" w:sz="0" w:space="0" w:color="auto"/>
        <w:right w:val="none" w:sz="0" w:space="0" w:color="auto"/>
      </w:divBdr>
    </w:div>
    <w:div w:id="2066096585">
      <w:bodyDiv w:val="1"/>
      <w:marLeft w:val="0"/>
      <w:marRight w:val="0"/>
      <w:marTop w:val="0"/>
      <w:marBottom w:val="0"/>
      <w:divBdr>
        <w:top w:val="none" w:sz="0" w:space="0" w:color="auto"/>
        <w:left w:val="none" w:sz="0" w:space="0" w:color="auto"/>
        <w:bottom w:val="none" w:sz="0" w:space="0" w:color="auto"/>
        <w:right w:val="none" w:sz="0" w:space="0" w:color="auto"/>
      </w:divBdr>
      <w:divsChild>
        <w:div w:id="1721827575">
          <w:marLeft w:val="274"/>
          <w:marRight w:val="0"/>
          <w:marTop w:val="0"/>
          <w:marBottom w:val="0"/>
          <w:divBdr>
            <w:top w:val="none" w:sz="0" w:space="0" w:color="auto"/>
            <w:left w:val="none" w:sz="0" w:space="0" w:color="auto"/>
            <w:bottom w:val="none" w:sz="0" w:space="0" w:color="auto"/>
            <w:right w:val="none" w:sz="0" w:space="0" w:color="auto"/>
          </w:divBdr>
        </w:div>
        <w:div w:id="707486508">
          <w:marLeft w:val="274"/>
          <w:marRight w:val="0"/>
          <w:marTop w:val="0"/>
          <w:marBottom w:val="0"/>
          <w:divBdr>
            <w:top w:val="none" w:sz="0" w:space="0" w:color="auto"/>
            <w:left w:val="none" w:sz="0" w:space="0" w:color="auto"/>
            <w:bottom w:val="none" w:sz="0" w:space="0" w:color="auto"/>
            <w:right w:val="none" w:sz="0" w:space="0" w:color="auto"/>
          </w:divBdr>
        </w:div>
        <w:div w:id="1353796316">
          <w:marLeft w:val="274"/>
          <w:marRight w:val="0"/>
          <w:marTop w:val="0"/>
          <w:marBottom w:val="0"/>
          <w:divBdr>
            <w:top w:val="none" w:sz="0" w:space="0" w:color="auto"/>
            <w:left w:val="none" w:sz="0" w:space="0" w:color="auto"/>
            <w:bottom w:val="none" w:sz="0" w:space="0" w:color="auto"/>
            <w:right w:val="none" w:sz="0" w:space="0" w:color="auto"/>
          </w:divBdr>
        </w:div>
        <w:div w:id="985628071">
          <w:marLeft w:val="274"/>
          <w:marRight w:val="0"/>
          <w:marTop w:val="0"/>
          <w:marBottom w:val="0"/>
          <w:divBdr>
            <w:top w:val="none" w:sz="0" w:space="0" w:color="auto"/>
            <w:left w:val="none" w:sz="0" w:space="0" w:color="auto"/>
            <w:bottom w:val="none" w:sz="0" w:space="0" w:color="auto"/>
            <w:right w:val="none" w:sz="0" w:space="0" w:color="auto"/>
          </w:divBdr>
        </w:div>
        <w:div w:id="470369842">
          <w:marLeft w:val="274"/>
          <w:marRight w:val="0"/>
          <w:marTop w:val="0"/>
          <w:marBottom w:val="0"/>
          <w:divBdr>
            <w:top w:val="none" w:sz="0" w:space="0" w:color="auto"/>
            <w:left w:val="none" w:sz="0" w:space="0" w:color="auto"/>
            <w:bottom w:val="none" w:sz="0" w:space="0" w:color="auto"/>
            <w:right w:val="none" w:sz="0" w:space="0" w:color="auto"/>
          </w:divBdr>
        </w:div>
        <w:div w:id="1055472440">
          <w:marLeft w:val="274"/>
          <w:marRight w:val="0"/>
          <w:marTop w:val="0"/>
          <w:marBottom w:val="0"/>
          <w:divBdr>
            <w:top w:val="none" w:sz="0" w:space="0" w:color="auto"/>
            <w:left w:val="none" w:sz="0" w:space="0" w:color="auto"/>
            <w:bottom w:val="none" w:sz="0" w:space="0" w:color="auto"/>
            <w:right w:val="none" w:sz="0" w:space="0" w:color="auto"/>
          </w:divBdr>
        </w:div>
        <w:div w:id="1931506171">
          <w:marLeft w:val="274"/>
          <w:marRight w:val="0"/>
          <w:marTop w:val="0"/>
          <w:marBottom w:val="0"/>
          <w:divBdr>
            <w:top w:val="none" w:sz="0" w:space="0" w:color="auto"/>
            <w:left w:val="none" w:sz="0" w:space="0" w:color="auto"/>
            <w:bottom w:val="none" w:sz="0" w:space="0" w:color="auto"/>
            <w:right w:val="none" w:sz="0" w:space="0" w:color="auto"/>
          </w:divBdr>
        </w:div>
        <w:div w:id="1007682360">
          <w:marLeft w:val="274"/>
          <w:marRight w:val="0"/>
          <w:marTop w:val="0"/>
          <w:marBottom w:val="0"/>
          <w:divBdr>
            <w:top w:val="none" w:sz="0" w:space="0" w:color="auto"/>
            <w:left w:val="none" w:sz="0" w:space="0" w:color="auto"/>
            <w:bottom w:val="none" w:sz="0" w:space="0" w:color="auto"/>
            <w:right w:val="none" w:sz="0" w:space="0" w:color="auto"/>
          </w:divBdr>
        </w:div>
      </w:divsChild>
    </w:div>
    <w:div w:id="2088721236">
      <w:bodyDiv w:val="1"/>
      <w:marLeft w:val="0"/>
      <w:marRight w:val="0"/>
      <w:marTop w:val="0"/>
      <w:marBottom w:val="0"/>
      <w:divBdr>
        <w:top w:val="none" w:sz="0" w:space="0" w:color="auto"/>
        <w:left w:val="none" w:sz="0" w:space="0" w:color="auto"/>
        <w:bottom w:val="none" w:sz="0" w:space="0" w:color="auto"/>
        <w:right w:val="none" w:sz="0" w:space="0" w:color="auto"/>
      </w:divBdr>
    </w:div>
    <w:div w:id="21087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fj-lancaster.org.uk/projects/permanently-progress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rk.ac.uk/spsw/research/researchproject-permanentlyprogressing/" TargetMode="External"/><Relationship Id="rId4" Type="http://schemas.openxmlformats.org/officeDocument/2006/relationships/styles" Target="styles.xml"/><Relationship Id="rId9" Type="http://schemas.openxmlformats.org/officeDocument/2006/relationships/hyperlink" Target="https://afascotland.com/learning-zone/2-static-content/124-permanently-progress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A6EC44-F36A-4927-8587-42978DFC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Permanently Progressing? Building secure futures for children in Scotland</vt:lpstr>
    </vt:vector>
  </TitlesOfParts>
  <Company>University of Stirling</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Permanently Progressing? Building secure futures for children in Scotland</dc:title>
  <dc:subject>Report on the Pathways study</dc:subject>
  <dc:creator>Nina Biehal</dc:creator>
  <cp:lastModifiedBy>Martin</cp:lastModifiedBy>
  <cp:revision>8</cp:revision>
  <cp:lastPrinted>2019-05-08T16:08:00Z</cp:lastPrinted>
  <dcterms:created xsi:type="dcterms:W3CDTF">2022-03-13T10:20:00Z</dcterms:created>
  <dcterms:modified xsi:type="dcterms:W3CDTF">2022-04-06T13:39:00Z</dcterms:modified>
</cp:coreProperties>
</file>