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B804" w14:textId="2FFF9F2C" w:rsidR="00796808" w:rsidRDefault="00796808">
      <w:pPr>
        <w:rPr>
          <w:rStyle w:val="normaltextrun"/>
          <w:rFonts w:ascii="Garamond" w:eastAsia="SimSun" w:hAnsi="Garamond" w:cs="Segoe UI"/>
          <w:b/>
          <w:bCs/>
          <w:kern w:val="0"/>
          <w:sz w:val="24"/>
          <w:lang w:val="en-GB"/>
        </w:rPr>
      </w:pPr>
      <w:r>
        <w:rPr>
          <w:rFonts w:hint="eastAsia"/>
          <w:noProof/>
        </w:rPr>
        <w:drawing>
          <wp:inline distT="0" distB="0" distL="0" distR="0" wp14:anchorId="7C8A28AF" wp14:editId="5B47A946">
            <wp:extent cx="2743200" cy="1828800"/>
            <wp:effectExtent l="0" t="0" r="0" b="0"/>
            <wp:docPr id="1" name="图片 1" descr="人戴着眼镜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人戴着眼镜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6DAE9" w14:textId="77777777" w:rsidR="00796808" w:rsidRDefault="00796808">
      <w:pPr>
        <w:rPr>
          <w:rStyle w:val="normaltextrun"/>
          <w:rFonts w:ascii="Garamond" w:eastAsia="SimSun" w:hAnsi="Garamond" w:cs="Segoe UI"/>
          <w:b/>
          <w:bCs/>
          <w:kern w:val="0"/>
          <w:sz w:val="24"/>
          <w:lang w:val="en-GB"/>
        </w:rPr>
      </w:pPr>
    </w:p>
    <w:p w14:paraId="58DEEFCB" w14:textId="150D690C" w:rsidR="00FB3D82" w:rsidRPr="00FB3D82" w:rsidRDefault="00FB3D82">
      <w:pPr>
        <w:rPr>
          <w:rStyle w:val="normaltextrun"/>
          <w:rFonts w:ascii="Garamond" w:eastAsia="SimSun" w:hAnsi="Garamond" w:cs="Segoe UI"/>
          <w:b/>
          <w:bCs/>
          <w:kern w:val="0"/>
          <w:sz w:val="24"/>
          <w:lang w:val="en-GB"/>
        </w:rPr>
      </w:pPr>
      <w:r w:rsidRPr="00FB3D82">
        <w:rPr>
          <w:rStyle w:val="normaltextrun"/>
          <w:rFonts w:ascii="Garamond" w:eastAsia="SimSun" w:hAnsi="Garamond" w:cs="Segoe UI"/>
          <w:b/>
          <w:bCs/>
          <w:kern w:val="0"/>
          <w:sz w:val="24"/>
          <w:lang w:val="en-GB"/>
        </w:rPr>
        <w:t>Abstract</w:t>
      </w:r>
    </w:p>
    <w:p w14:paraId="60A8C88C" w14:textId="77777777" w:rsidR="00FB3D82" w:rsidRDefault="00FB3D82" w:rsidP="00FB3D8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lang w:val="en-GB"/>
        </w:rPr>
        <w:t xml:space="preserve">‘Translation … isn’t everything’: Joseph Conrad’s translation of Bruno </w:t>
      </w:r>
      <w:proofErr w:type="spellStart"/>
      <w:r>
        <w:rPr>
          <w:rStyle w:val="normaltextrun"/>
          <w:rFonts w:ascii="Garamond" w:hAnsi="Garamond" w:cs="Segoe UI"/>
          <w:lang w:val="en-GB"/>
        </w:rPr>
        <w:t>Winawer’s</w:t>
      </w:r>
      <w:proofErr w:type="spellEnd"/>
      <w:r>
        <w:rPr>
          <w:rStyle w:val="normaltextrun"/>
          <w:rFonts w:ascii="Garamond" w:hAnsi="Garamond" w:cs="Segoe UI"/>
          <w:lang w:val="en-GB"/>
        </w:rPr>
        <w:t xml:space="preserve"> </w:t>
      </w:r>
      <w:proofErr w:type="gramStart"/>
      <w:r>
        <w:rPr>
          <w:rStyle w:val="normaltextrun"/>
          <w:rFonts w:ascii="Garamond" w:hAnsi="Garamond" w:cs="Segoe UI"/>
          <w:i/>
          <w:iCs/>
          <w:lang w:val="en-GB"/>
        </w:rPr>
        <w:t>The</w:t>
      </w:r>
      <w:proofErr w:type="gramEnd"/>
      <w:r>
        <w:rPr>
          <w:rStyle w:val="normaltextrun"/>
          <w:rFonts w:ascii="Garamond" w:hAnsi="Garamond" w:cs="Segoe UI"/>
          <w:i/>
          <w:iCs/>
          <w:lang w:val="en-GB"/>
        </w:rPr>
        <w:t xml:space="preserve"> Book of Job</w:t>
      </w:r>
      <w:r>
        <w:rPr>
          <w:rStyle w:val="eop"/>
          <w:rFonts w:ascii="Garamond" w:hAnsi="Garamond" w:cs="Segoe UI"/>
        </w:rPr>
        <w:t> </w:t>
      </w:r>
    </w:p>
    <w:p w14:paraId="462295CD" w14:textId="77777777" w:rsidR="00FB3D82" w:rsidRDefault="00FB3D82" w:rsidP="00FB3D8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</w:rPr>
        <w:t> </w:t>
      </w:r>
    </w:p>
    <w:p w14:paraId="37D9A560" w14:textId="77777777" w:rsidR="00FB3D82" w:rsidRDefault="00FB3D82" w:rsidP="00FB3D8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lang w:val="en-GB"/>
        </w:rPr>
        <w:t>Katherine Baxter, Northumbria University</w:t>
      </w:r>
      <w:r>
        <w:rPr>
          <w:rStyle w:val="eop"/>
          <w:rFonts w:ascii="Garamond" w:hAnsi="Garamond" w:cs="Segoe UI"/>
        </w:rPr>
        <w:t> </w:t>
      </w:r>
    </w:p>
    <w:p w14:paraId="33AA2DCA" w14:textId="77777777" w:rsidR="00FB3D82" w:rsidRDefault="00FB3D82" w:rsidP="00FB3D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</w:rPr>
        <w:t> </w:t>
      </w:r>
    </w:p>
    <w:p w14:paraId="22AB7706" w14:textId="77777777" w:rsidR="00FB3D82" w:rsidRDefault="00FB3D82" w:rsidP="00FB3D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lang w:val="en-GB"/>
        </w:rPr>
        <w:t xml:space="preserve">In 1921 Joseph Conrad reluctantly undertook the translation of a play by the Polish playwright, Bruno </w:t>
      </w:r>
      <w:proofErr w:type="spellStart"/>
      <w:r>
        <w:rPr>
          <w:rStyle w:val="normaltextrun"/>
          <w:rFonts w:ascii="Garamond" w:hAnsi="Garamond" w:cs="Segoe UI"/>
          <w:lang w:val="en-GB"/>
        </w:rPr>
        <w:t>Winawer</w:t>
      </w:r>
      <w:proofErr w:type="spellEnd"/>
      <w:r>
        <w:rPr>
          <w:rStyle w:val="normaltextrun"/>
          <w:rFonts w:ascii="Garamond" w:hAnsi="Garamond" w:cs="Segoe UI"/>
          <w:lang w:val="en-GB"/>
        </w:rPr>
        <w:t xml:space="preserve">. This was Conrad’s first and only known translation of a work from Polish and it remained unpublished until after his death in 1924. The translation was not, by any stretch of the imagination, a success. </w:t>
      </w:r>
      <w:proofErr w:type="spellStart"/>
      <w:r>
        <w:rPr>
          <w:rStyle w:val="normaltextrun"/>
          <w:rFonts w:ascii="Garamond" w:hAnsi="Garamond" w:cs="Segoe UI"/>
          <w:lang w:val="en-GB"/>
        </w:rPr>
        <w:t>Winawer’s</w:t>
      </w:r>
      <w:proofErr w:type="spellEnd"/>
      <w:r>
        <w:rPr>
          <w:rStyle w:val="normaltextrun"/>
          <w:rFonts w:ascii="Garamond" w:hAnsi="Garamond" w:cs="Segoe UI"/>
          <w:lang w:val="en-GB"/>
        </w:rPr>
        <w:t xml:space="preserve"> witty play becomes leaden in Conrad’s </w:t>
      </w:r>
      <w:proofErr w:type="gramStart"/>
      <w:r>
        <w:rPr>
          <w:rStyle w:val="normaltextrun"/>
          <w:rFonts w:ascii="Garamond" w:hAnsi="Garamond" w:cs="Segoe UI"/>
          <w:lang w:val="en-GB"/>
        </w:rPr>
        <w:t>rendition</w:t>
      </w:r>
      <w:proofErr w:type="gramEnd"/>
      <w:r>
        <w:rPr>
          <w:rStyle w:val="normaltextrun"/>
          <w:rFonts w:ascii="Garamond" w:hAnsi="Garamond" w:cs="Segoe UI"/>
          <w:lang w:val="en-GB"/>
        </w:rPr>
        <w:t xml:space="preserve"> and he failed to find a theatre to stage it. Nonetheless, the translation has much to tell us.</w:t>
      </w:r>
      <w:r>
        <w:rPr>
          <w:rStyle w:val="eop"/>
          <w:rFonts w:ascii="Garamond" w:hAnsi="Garamond" w:cs="Segoe UI"/>
        </w:rPr>
        <w:t> </w:t>
      </w:r>
    </w:p>
    <w:p w14:paraId="2701F673" w14:textId="77777777" w:rsidR="00FB3D82" w:rsidRDefault="00FB3D82" w:rsidP="00FB3D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</w:rPr>
        <w:t> </w:t>
      </w:r>
    </w:p>
    <w:p w14:paraId="11586861" w14:textId="77777777" w:rsidR="00FB3D82" w:rsidRDefault="00FB3D82" w:rsidP="00FB3D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lang w:val="en-GB"/>
        </w:rPr>
        <w:t xml:space="preserve">In this presentation I want to explore why Conrad was reluctant to take on the project, his failed attempts to place it with a theatre producer, and the process of translation itself. By this time in his career, Conrad was acutely afflicted by gout. Consequently, he composed primarily by dictation through his amanuensis, Lilian </w:t>
      </w:r>
      <w:proofErr w:type="spellStart"/>
      <w:r>
        <w:rPr>
          <w:rStyle w:val="normaltextrun"/>
          <w:rFonts w:ascii="Garamond" w:hAnsi="Garamond" w:cs="Segoe UI"/>
          <w:lang w:val="en-GB"/>
        </w:rPr>
        <w:t>Hallowes</w:t>
      </w:r>
      <w:proofErr w:type="spellEnd"/>
      <w:r>
        <w:rPr>
          <w:rStyle w:val="normaltextrun"/>
          <w:rFonts w:ascii="Garamond" w:hAnsi="Garamond" w:cs="Segoe UI"/>
          <w:lang w:val="en-GB"/>
        </w:rPr>
        <w:t xml:space="preserve">. This has an impact on the process of translation and at times allows us to ‘hear’ Conrad through </w:t>
      </w:r>
      <w:proofErr w:type="spellStart"/>
      <w:r>
        <w:rPr>
          <w:rStyle w:val="normaltextrun"/>
          <w:rFonts w:ascii="Garamond" w:hAnsi="Garamond" w:cs="Segoe UI"/>
          <w:lang w:val="en-GB"/>
        </w:rPr>
        <w:t>Hallowes</w:t>
      </w:r>
      <w:proofErr w:type="spellEnd"/>
      <w:r>
        <w:rPr>
          <w:rStyle w:val="normaltextrun"/>
          <w:rFonts w:ascii="Garamond" w:hAnsi="Garamond" w:cs="Segoe UI"/>
          <w:lang w:val="en-GB"/>
        </w:rPr>
        <w:t xml:space="preserve">’ mis-transcription of Conrad’s words. At the same time, Conrad’s corrections to the typescript produced by </w:t>
      </w:r>
      <w:proofErr w:type="spellStart"/>
      <w:r>
        <w:rPr>
          <w:rStyle w:val="normaltextrun"/>
          <w:rFonts w:ascii="Garamond" w:hAnsi="Garamond" w:cs="Segoe UI"/>
          <w:lang w:val="en-GB"/>
        </w:rPr>
        <w:t>Hallowes</w:t>
      </w:r>
      <w:proofErr w:type="spellEnd"/>
      <w:r>
        <w:rPr>
          <w:rStyle w:val="normaltextrun"/>
          <w:rFonts w:ascii="Garamond" w:hAnsi="Garamond" w:cs="Segoe UI"/>
          <w:lang w:val="en-GB"/>
        </w:rPr>
        <w:t xml:space="preserve">, show his attempts to move from a relatively literal to a more idiomatic rendering of </w:t>
      </w:r>
      <w:proofErr w:type="spellStart"/>
      <w:r>
        <w:rPr>
          <w:rStyle w:val="normaltextrun"/>
          <w:rFonts w:ascii="Garamond" w:hAnsi="Garamond" w:cs="Segoe UI"/>
          <w:lang w:val="en-GB"/>
        </w:rPr>
        <w:t>Winawer’s</w:t>
      </w:r>
      <w:proofErr w:type="spellEnd"/>
      <w:r>
        <w:rPr>
          <w:rStyle w:val="normaltextrun"/>
          <w:rFonts w:ascii="Garamond" w:hAnsi="Garamond" w:cs="Segoe UI"/>
          <w:lang w:val="en-GB"/>
        </w:rPr>
        <w:t xml:space="preserve"> script. As I hope to demonstrate, despite its failings, Conrad’s translation of </w:t>
      </w:r>
      <w:r>
        <w:rPr>
          <w:rStyle w:val="normaltextrun"/>
          <w:rFonts w:ascii="Garamond" w:hAnsi="Garamond" w:cs="Segoe UI"/>
          <w:i/>
          <w:iCs/>
          <w:lang w:val="en-GB"/>
        </w:rPr>
        <w:t>The Book of Job</w:t>
      </w:r>
      <w:r>
        <w:rPr>
          <w:rStyle w:val="normaltextrun"/>
          <w:rFonts w:ascii="Garamond" w:hAnsi="Garamond" w:cs="Segoe UI"/>
          <w:lang w:val="en-GB"/>
        </w:rPr>
        <w:t xml:space="preserve"> provides a fascinating insight into his compositional methods and, more broadly, challenges the common assumption that Conrad was uninterested in artistic experimentation in the latter years of his career. </w:t>
      </w:r>
      <w:proofErr w:type="gramStart"/>
      <w:r>
        <w:rPr>
          <w:rStyle w:val="normaltextrun"/>
          <w:rFonts w:ascii="Garamond" w:hAnsi="Garamond" w:cs="Segoe UI"/>
          <w:lang w:val="en-GB"/>
        </w:rPr>
        <w:t>In particular, I</w:t>
      </w:r>
      <w:proofErr w:type="gramEnd"/>
      <w:r>
        <w:rPr>
          <w:rStyle w:val="normaltextrun"/>
          <w:rFonts w:ascii="Garamond" w:hAnsi="Garamond" w:cs="Segoe UI"/>
          <w:lang w:val="en-GB"/>
        </w:rPr>
        <w:t xml:space="preserve"> want to show how attending to the textual versions, rather than the printed work, can help us to rethink the value of this translation.</w:t>
      </w:r>
      <w:r>
        <w:rPr>
          <w:rStyle w:val="eop"/>
          <w:rFonts w:ascii="Garamond" w:hAnsi="Garamond" w:cs="Segoe UI"/>
        </w:rPr>
        <w:t> </w:t>
      </w:r>
    </w:p>
    <w:p w14:paraId="07A91979" w14:textId="77777777" w:rsidR="00FB3D82" w:rsidRDefault="00FB3D82" w:rsidP="00FB3D8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</w:rPr>
        <w:t> </w:t>
      </w:r>
    </w:p>
    <w:p w14:paraId="7D42EE53" w14:textId="2391097C" w:rsidR="00FB3D82" w:rsidRPr="00317641" w:rsidRDefault="00C25B95" w:rsidP="00FB3D82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lang w:eastAsia="en-US"/>
        </w:rPr>
      </w:pPr>
      <w:r w:rsidRPr="00317641">
        <w:rPr>
          <w:rFonts w:ascii="Garamond" w:hAnsi="Garamond"/>
          <w:lang w:eastAsia="en-US"/>
        </w:rPr>
        <w:t>This presentation draws on my current work editing Conrad’s plays with Richard Hand</w:t>
      </w:r>
      <w:r w:rsidR="00717C7D" w:rsidRPr="00317641">
        <w:rPr>
          <w:rFonts w:ascii="Garamond" w:hAnsi="Garamond"/>
          <w:lang w:eastAsia="en-US"/>
        </w:rPr>
        <w:t xml:space="preserve"> </w:t>
      </w:r>
      <w:r w:rsidR="00FB3D82" w:rsidRPr="00317641">
        <w:rPr>
          <w:rStyle w:val="normaltextrun"/>
          <w:rFonts w:ascii="Garamond" w:hAnsi="Garamond" w:cs="Segoe UI"/>
          <w:lang w:val="en-GB"/>
        </w:rPr>
        <w:t>for Cambridge University Press’s Works of Conrad series. </w:t>
      </w:r>
      <w:r w:rsidR="00FB3D82" w:rsidRPr="00317641">
        <w:rPr>
          <w:rStyle w:val="eop"/>
          <w:rFonts w:ascii="Garamond" w:hAnsi="Garamond" w:cs="Segoe UI"/>
        </w:rPr>
        <w:t> </w:t>
      </w:r>
    </w:p>
    <w:p w14:paraId="1091137E" w14:textId="28A5920E" w:rsidR="00FB3D82" w:rsidRDefault="00FB3D82"/>
    <w:p w14:paraId="72E0EF49" w14:textId="3A48B94F" w:rsidR="00FB3D82" w:rsidRDefault="00FB3D82"/>
    <w:p w14:paraId="058D0A08" w14:textId="5B7C2864" w:rsidR="00FB3D82" w:rsidRDefault="00FB3D82" w:rsidP="00FB3D82">
      <w:pPr>
        <w:rPr>
          <w:rStyle w:val="normaltextrun"/>
          <w:rFonts w:ascii="Garamond" w:eastAsia="SimSun" w:hAnsi="Garamond" w:cs="Segoe UI"/>
          <w:b/>
          <w:bCs/>
          <w:kern w:val="0"/>
          <w:sz w:val="24"/>
          <w:lang w:val="en-GB"/>
        </w:rPr>
      </w:pPr>
      <w:r>
        <w:rPr>
          <w:rStyle w:val="normaltextrun"/>
          <w:rFonts w:ascii="Garamond" w:eastAsia="SimSun" w:hAnsi="Garamond" w:cs="Segoe UI"/>
          <w:b/>
          <w:bCs/>
          <w:kern w:val="0"/>
          <w:sz w:val="24"/>
          <w:lang w:val="en-GB"/>
        </w:rPr>
        <w:t>Profile</w:t>
      </w:r>
    </w:p>
    <w:p w14:paraId="7E7D241D" w14:textId="77777777" w:rsidR="00FB3D82" w:rsidRPr="00FB3D82" w:rsidRDefault="00FB3D82" w:rsidP="00FB3D82">
      <w:pPr>
        <w:rPr>
          <w:rStyle w:val="normaltextrun"/>
          <w:rFonts w:ascii="Garamond" w:eastAsia="SimSun" w:hAnsi="Garamond" w:cs="Segoe UI"/>
          <w:kern w:val="0"/>
          <w:sz w:val="24"/>
          <w:lang w:val="en-GB"/>
        </w:rPr>
      </w:pPr>
      <w:r w:rsidRPr="00FB3D82">
        <w:rPr>
          <w:rStyle w:val="normaltextrun"/>
          <w:rFonts w:ascii="Garamond" w:eastAsia="SimSun" w:hAnsi="Garamond" w:cs="Segoe UI"/>
          <w:kern w:val="0"/>
          <w:sz w:val="24"/>
          <w:lang w:val="en-GB"/>
        </w:rPr>
        <w:t xml:space="preserve">Katherine Baxter is Deputy Faculty Pro Vice-Chancellor in the Department of Humanities </w:t>
      </w:r>
      <w:r w:rsidRPr="00FB3D82">
        <w:rPr>
          <w:rStyle w:val="normaltextrun"/>
          <w:rFonts w:ascii="Garamond" w:eastAsia="SimSun" w:hAnsi="Garamond" w:cs="Segoe UI"/>
          <w:kern w:val="0"/>
          <w:sz w:val="24"/>
          <w:lang w:val="en-GB"/>
        </w:rPr>
        <w:lastRenderedPageBreak/>
        <w:t xml:space="preserve">at Northumbria University. She was awarded Ph.D. from the University of Glasgow in July 2003. She then worked for several years in London both as a lecturer and as a cataloguer and curator at the British Library. In 2007 She was appointed as Research Assistant Professor in Cross-Cultural Studies in English at the University of Hong Kong. She then moved, in 2010, to the United States where she was a lecturer at Stanford University before joining Northumbria University in 2011. Her work is characterized by her longstanding interest in cross-cultural and interdisciplinary scholarship. Colonial and postcolonial literatures form the </w:t>
      </w:r>
      <w:proofErr w:type="gramStart"/>
      <w:r w:rsidRPr="00FB3D82">
        <w:rPr>
          <w:rStyle w:val="normaltextrun"/>
          <w:rFonts w:ascii="Garamond" w:eastAsia="SimSun" w:hAnsi="Garamond" w:cs="Segoe UI"/>
          <w:kern w:val="0"/>
          <w:sz w:val="24"/>
          <w:lang w:val="en-GB"/>
        </w:rPr>
        <w:t>main focus</w:t>
      </w:r>
      <w:proofErr w:type="gramEnd"/>
      <w:r w:rsidRPr="00FB3D82">
        <w:rPr>
          <w:rStyle w:val="normaltextrun"/>
          <w:rFonts w:ascii="Garamond" w:eastAsia="SimSun" w:hAnsi="Garamond" w:cs="Segoe UI"/>
          <w:kern w:val="0"/>
          <w:sz w:val="24"/>
          <w:lang w:val="en-GB"/>
        </w:rPr>
        <w:t xml:space="preserve"> of her research alongside an interest in literary multilingualism, and law and literature studies.</w:t>
      </w:r>
    </w:p>
    <w:p w14:paraId="45267D1D" w14:textId="77777777" w:rsidR="00FB3D82" w:rsidRPr="00FB3D82" w:rsidRDefault="00FB3D82" w:rsidP="00FB3D82">
      <w:pPr>
        <w:rPr>
          <w:rStyle w:val="normaltextrun"/>
          <w:rFonts w:ascii="Garamond" w:eastAsia="SimSun" w:hAnsi="Garamond" w:cs="Segoe UI"/>
          <w:b/>
          <w:bCs/>
          <w:kern w:val="0"/>
          <w:sz w:val="24"/>
        </w:rPr>
      </w:pPr>
    </w:p>
    <w:p w14:paraId="12F9D3DC" w14:textId="767F848F" w:rsidR="00FB3D82" w:rsidRPr="00FB3D82" w:rsidRDefault="00FB3D82"/>
    <w:sectPr w:rsidR="00FB3D82" w:rsidRPr="00FB3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82"/>
    <w:rsid w:val="00317641"/>
    <w:rsid w:val="00717C7D"/>
    <w:rsid w:val="00796808"/>
    <w:rsid w:val="009933B6"/>
    <w:rsid w:val="00B71765"/>
    <w:rsid w:val="00C25B95"/>
    <w:rsid w:val="00F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AF29"/>
  <w15:chartTrackingRefBased/>
  <w15:docId w15:val="{16B78BDA-A2B7-7B47-B9CA-2288269E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B3D8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customStyle="1" w:styleId="normaltextrun">
    <w:name w:val="normaltextrun"/>
    <w:basedOn w:val="DefaultParagraphFont"/>
    <w:rsid w:val="00FB3D82"/>
  </w:style>
  <w:style w:type="character" w:customStyle="1" w:styleId="eop">
    <w:name w:val="eop"/>
    <w:basedOn w:val="DefaultParagraphFont"/>
    <w:rsid w:val="00FB3D82"/>
  </w:style>
  <w:style w:type="character" w:styleId="CommentReference">
    <w:name w:val="annotation reference"/>
    <w:basedOn w:val="DefaultParagraphFont"/>
    <w:uiPriority w:val="99"/>
    <w:semiHidden/>
    <w:unhideWhenUsed/>
    <w:rsid w:val="00993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3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3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3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54D3C73-2E2F-484C-A597-25F2DF9E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Yayuan Liu</dc:creator>
  <cp:keywords/>
  <dc:description/>
  <cp:lastModifiedBy>Lucy Andrew</cp:lastModifiedBy>
  <cp:revision>9</cp:revision>
  <dcterms:created xsi:type="dcterms:W3CDTF">2022-07-18T09:39:00Z</dcterms:created>
  <dcterms:modified xsi:type="dcterms:W3CDTF">2022-07-25T12:04:00Z</dcterms:modified>
</cp:coreProperties>
</file>